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Ind w:w="108" w:type="dxa"/>
        <w:tblLayout w:type="fixed"/>
        <w:tblLook w:val="0000" w:firstRow="0" w:lastRow="0" w:firstColumn="0" w:lastColumn="0" w:noHBand="0" w:noVBand="0"/>
      </w:tblPr>
      <w:tblGrid>
        <w:gridCol w:w="3778"/>
        <w:gridCol w:w="4744"/>
      </w:tblGrid>
      <w:tr w:rsidR="007C24D5" w:rsidRPr="007C24D5" w:rsidTr="005112BF">
        <w:trPr>
          <w:trHeight w:val="1560"/>
        </w:trPr>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НАСЛОВ НА МАТЕРИЈАЛОТ:</w:t>
            </w:r>
          </w:p>
        </w:tc>
        <w:tc>
          <w:tcPr>
            <w:tcW w:w="4744" w:type="dxa"/>
          </w:tcPr>
          <w:p w:rsidR="00163678" w:rsidRPr="007C24D5" w:rsidRDefault="00163678" w:rsidP="005112BF">
            <w:pPr>
              <w:autoSpaceDE w:val="0"/>
              <w:autoSpaceDN w:val="0"/>
              <w:adjustRightInd w:val="0"/>
              <w:jc w:val="center"/>
              <w:rPr>
                <w:rFonts w:ascii="Times New Roman" w:hAnsi="Times New Roman"/>
                <w:b/>
                <w:bCs/>
                <w:iCs/>
                <w:sz w:val="24"/>
                <w:szCs w:val="24"/>
                <w:lang w:val="mk-MK"/>
              </w:rPr>
            </w:pPr>
            <w:r w:rsidRPr="007C24D5">
              <w:rPr>
                <w:rFonts w:ascii="Times New Roman" w:hAnsi="Times New Roman"/>
                <w:b/>
                <w:sz w:val="24"/>
                <w:szCs w:val="24"/>
                <w:lang w:val="mk-MK"/>
              </w:rPr>
              <w:t>НАЦРТ-</w:t>
            </w:r>
            <w:r w:rsidRPr="007C24D5">
              <w:rPr>
                <w:rFonts w:ascii="Times New Roman" w:hAnsi="Times New Roman"/>
                <w:b/>
                <w:bCs/>
                <w:iCs/>
                <w:sz w:val="24"/>
                <w:szCs w:val="24"/>
                <w:lang w:val="mk-MK"/>
              </w:rPr>
              <w:t xml:space="preserve">  ПРОГРАМА ЗА ЕНЕРГЕТСКА ЕФИКАСНОСТ ЗА 202</w:t>
            </w:r>
            <w:r w:rsidR="00CA7EB9" w:rsidRPr="007C24D5">
              <w:rPr>
                <w:rFonts w:ascii="Times New Roman" w:hAnsi="Times New Roman"/>
                <w:b/>
                <w:bCs/>
                <w:iCs/>
                <w:sz w:val="24"/>
                <w:szCs w:val="24"/>
                <w:lang w:val="en-US"/>
              </w:rPr>
              <w:t>5</w:t>
            </w:r>
            <w:r w:rsidRPr="007C24D5">
              <w:rPr>
                <w:rFonts w:ascii="Times New Roman" w:hAnsi="Times New Roman"/>
                <w:b/>
                <w:bCs/>
                <w:iCs/>
                <w:sz w:val="24"/>
                <w:szCs w:val="24"/>
                <w:lang w:val="mk-MK"/>
              </w:rPr>
              <w:t xml:space="preserve"> ГОДИНА</w:t>
            </w:r>
          </w:p>
          <w:p w:rsidR="00163678" w:rsidRPr="007C24D5" w:rsidRDefault="00163678" w:rsidP="005112BF">
            <w:pPr>
              <w:jc w:val="center"/>
              <w:rPr>
                <w:rFonts w:ascii="Times New Roman" w:hAnsi="Times New Roman"/>
                <w:sz w:val="24"/>
                <w:szCs w:val="24"/>
                <w:lang w:val="mk-MK"/>
              </w:rPr>
            </w:pPr>
            <w:bookmarkStart w:id="0" w:name="_GoBack"/>
            <w:bookmarkEnd w:id="0"/>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ru-RU"/>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ru-RU"/>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ПРЕДЛАГАЧ:</w:t>
            </w:r>
          </w:p>
        </w:tc>
        <w:tc>
          <w:tcPr>
            <w:tcW w:w="4744" w:type="dxa"/>
          </w:tcPr>
          <w:p w:rsidR="00163678" w:rsidRPr="007C24D5" w:rsidRDefault="00163678" w:rsidP="005112BF">
            <w:pPr>
              <w:snapToGrid w:val="0"/>
              <w:jc w:val="both"/>
              <w:rPr>
                <w:rFonts w:ascii="Times New Roman" w:hAnsi="Times New Roman"/>
                <w:sz w:val="24"/>
                <w:szCs w:val="24"/>
                <w:lang w:val="mk-MK"/>
              </w:rPr>
            </w:pPr>
            <w:r w:rsidRPr="007C24D5">
              <w:rPr>
                <w:rFonts w:ascii="Times New Roman" w:hAnsi="Times New Roman"/>
                <w:sz w:val="24"/>
                <w:szCs w:val="24"/>
                <w:lang w:val="mk-MK"/>
              </w:rPr>
              <w:t>Градоначалник на Општина Охрид</w:t>
            </w: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ОСНОВА ЗА ДОНЕСУВАЊЕ:</w:t>
            </w:r>
          </w:p>
        </w:tc>
        <w:tc>
          <w:tcPr>
            <w:tcW w:w="4744" w:type="dxa"/>
          </w:tcPr>
          <w:p w:rsidR="00163678" w:rsidRPr="007C24D5" w:rsidRDefault="00163678" w:rsidP="005112BF">
            <w:pPr>
              <w:snapToGrid w:val="0"/>
              <w:jc w:val="both"/>
              <w:rPr>
                <w:rFonts w:ascii="Times New Roman" w:hAnsi="Times New Roman"/>
                <w:sz w:val="24"/>
                <w:szCs w:val="24"/>
                <w:lang w:val="mk-MK"/>
              </w:rPr>
            </w:pPr>
            <w:r w:rsidRPr="007C24D5">
              <w:rPr>
                <w:rFonts w:ascii="Times New Roman" w:hAnsi="Times New Roman"/>
                <w:sz w:val="24"/>
                <w:szCs w:val="24"/>
                <w:lang w:val="mk-MK"/>
              </w:rPr>
              <w:t xml:space="preserve">Член 36 став 1 точка 6 од Законот за локалната самоуправа („Сл.весник на РМ“ бр.5/02) и член </w:t>
            </w:r>
            <w:r w:rsidRPr="007C24D5">
              <w:rPr>
                <w:rFonts w:ascii="Times New Roman" w:hAnsi="Times New Roman"/>
                <w:sz w:val="24"/>
                <w:szCs w:val="24"/>
                <w:lang w:val="ru-RU"/>
              </w:rPr>
              <w:t>18</w:t>
            </w:r>
            <w:r w:rsidRPr="007C24D5">
              <w:rPr>
                <w:rFonts w:ascii="Times New Roman" w:hAnsi="Times New Roman"/>
                <w:sz w:val="24"/>
                <w:szCs w:val="24"/>
                <w:lang w:val="mk-MK"/>
              </w:rPr>
              <w:t xml:space="preserve"> став 1 точка 6 од Статутот на општина Охрид („Сл.гласник на општина Охрид“ бр.</w:t>
            </w:r>
            <w:r w:rsidRPr="007C24D5">
              <w:rPr>
                <w:rFonts w:ascii="Times New Roman" w:hAnsi="Times New Roman"/>
                <w:sz w:val="24"/>
                <w:szCs w:val="24"/>
              </w:rPr>
              <w:t xml:space="preserve"> 08/07, 01/08, 10/10, 05/11, 09/14, 14/14, </w:t>
            </w:r>
            <w:r w:rsidRPr="007C24D5">
              <w:rPr>
                <w:rFonts w:ascii="Times New Roman" w:hAnsi="Times New Roman"/>
                <w:sz w:val="24"/>
                <w:szCs w:val="24"/>
                <w:lang w:val="mk-MK"/>
              </w:rPr>
              <w:t>10/19 и 15/20)</w:t>
            </w: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ПРЕТСТАВНИК:</w:t>
            </w:r>
          </w:p>
        </w:tc>
        <w:tc>
          <w:tcPr>
            <w:tcW w:w="4744" w:type="dxa"/>
          </w:tcPr>
          <w:p w:rsidR="00163678" w:rsidRPr="007C24D5" w:rsidRDefault="00163678" w:rsidP="005112BF">
            <w:pPr>
              <w:jc w:val="both"/>
              <w:rPr>
                <w:rFonts w:ascii="Times New Roman" w:hAnsi="Times New Roman"/>
                <w:sz w:val="24"/>
                <w:szCs w:val="24"/>
                <w:lang w:val="mk-MK"/>
              </w:rPr>
            </w:pPr>
            <w:r w:rsidRPr="007C24D5">
              <w:rPr>
                <w:rFonts w:ascii="Times New Roman" w:hAnsi="Times New Roman"/>
                <w:sz w:val="24"/>
                <w:szCs w:val="24"/>
                <w:lang w:val="mk-MK"/>
              </w:rPr>
              <w:t>Тони Иваноски</w:t>
            </w: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ОБРАБОТУВАЧ:</w:t>
            </w:r>
          </w:p>
        </w:tc>
        <w:tc>
          <w:tcPr>
            <w:tcW w:w="4744" w:type="dxa"/>
          </w:tcPr>
          <w:p w:rsidR="00163678" w:rsidRPr="007C24D5" w:rsidRDefault="00163678" w:rsidP="005112BF">
            <w:pPr>
              <w:snapToGrid w:val="0"/>
              <w:jc w:val="both"/>
              <w:rPr>
                <w:rFonts w:ascii="Times New Roman" w:hAnsi="Times New Roman"/>
                <w:sz w:val="24"/>
                <w:szCs w:val="24"/>
                <w:lang w:val="mk-MK"/>
              </w:rPr>
            </w:pPr>
            <w:r w:rsidRPr="007C24D5">
              <w:rPr>
                <w:rFonts w:ascii="Times New Roman" w:hAnsi="Times New Roman"/>
                <w:sz w:val="24"/>
                <w:szCs w:val="24"/>
                <w:lang w:val="mk-MK"/>
              </w:rPr>
              <w:t xml:space="preserve">Стручна служба </w:t>
            </w: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7C24D5"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p>
        </w:tc>
        <w:tc>
          <w:tcPr>
            <w:tcW w:w="4744" w:type="dxa"/>
          </w:tcPr>
          <w:p w:rsidR="00163678" w:rsidRPr="007C24D5" w:rsidRDefault="00163678" w:rsidP="005112BF">
            <w:pPr>
              <w:snapToGrid w:val="0"/>
              <w:jc w:val="both"/>
              <w:rPr>
                <w:rFonts w:ascii="Times New Roman" w:hAnsi="Times New Roman"/>
                <w:sz w:val="24"/>
                <w:szCs w:val="24"/>
                <w:lang w:val="mk-MK"/>
              </w:rPr>
            </w:pPr>
          </w:p>
        </w:tc>
      </w:tr>
      <w:tr w:rsidR="00163678" w:rsidRPr="007C24D5" w:rsidTr="005112BF">
        <w:tc>
          <w:tcPr>
            <w:tcW w:w="3778" w:type="dxa"/>
          </w:tcPr>
          <w:p w:rsidR="00163678" w:rsidRPr="007C24D5" w:rsidRDefault="00163678" w:rsidP="005112BF">
            <w:pPr>
              <w:snapToGrid w:val="0"/>
              <w:jc w:val="both"/>
              <w:rPr>
                <w:rFonts w:ascii="Times New Roman" w:hAnsi="Times New Roman"/>
                <w:b/>
                <w:sz w:val="24"/>
                <w:szCs w:val="24"/>
                <w:lang w:val="mk-MK"/>
              </w:rPr>
            </w:pPr>
            <w:r w:rsidRPr="007C24D5">
              <w:rPr>
                <w:rFonts w:ascii="Times New Roman" w:hAnsi="Times New Roman"/>
                <w:b/>
                <w:sz w:val="24"/>
                <w:szCs w:val="24"/>
                <w:lang w:val="mk-MK"/>
              </w:rPr>
              <w:t>НАДЛЕЖНОСТ:</w:t>
            </w:r>
          </w:p>
        </w:tc>
        <w:tc>
          <w:tcPr>
            <w:tcW w:w="4744" w:type="dxa"/>
          </w:tcPr>
          <w:p w:rsidR="00163678" w:rsidRPr="007C24D5" w:rsidRDefault="00163678" w:rsidP="005112BF">
            <w:pPr>
              <w:snapToGrid w:val="0"/>
              <w:jc w:val="both"/>
              <w:rPr>
                <w:rFonts w:ascii="Times New Roman" w:hAnsi="Times New Roman"/>
                <w:sz w:val="24"/>
                <w:szCs w:val="24"/>
                <w:lang w:val="mk-MK"/>
              </w:rPr>
            </w:pPr>
            <w:r w:rsidRPr="007C24D5">
              <w:rPr>
                <w:rFonts w:ascii="Times New Roman" w:hAnsi="Times New Roman"/>
                <w:sz w:val="24"/>
                <w:szCs w:val="24"/>
                <w:lang w:val="mk-MK"/>
              </w:rPr>
              <w:t>Совет на општина Охрид</w:t>
            </w:r>
          </w:p>
        </w:tc>
      </w:tr>
    </w:tbl>
    <w:p w:rsidR="005923E7" w:rsidRPr="007C24D5" w:rsidRDefault="005923E7"/>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p w:rsidR="00163678" w:rsidRPr="007C24D5" w:rsidRDefault="00163678" w:rsidP="00163678">
      <w:pPr>
        <w:ind w:firstLine="720"/>
        <w:jc w:val="both"/>
        <w:rPr>
          <w:rFonts w:ascii="Times New Roman" w:hAnsi="Times New Roman"/>
          <w:sz w:val="24"/>
          <w:szCs w:val="24"/>
          <w:lang w:val="mk-MK"/>
        </w:rPr>
      </w:pPr>
      <w:r w:rsidRPr="007C24D5">
        <w:rPr>
          <w:rFonts w:ascii="Times New Roman" w:hAnsi="Times New Roman"/>
          <w:lang w:val="mk-MK"/>
        </w:rPr>
        <w:lastRenderedPageBreak/>
        <w:t xml:space="preserve">  </w:t>
      </w:r>
      <w:r w:rsidRPr="007C24D5">
        <w:rPr>
          <w:rFonts w:ascii="Times New Roman" w:hAnsi="Times New Roman"/>
          <w:sz w:val="24"/>
          <w:szCs w:val="24"/>
          <w:lang w:val="mk-MK"/>
        </w:rPr>
        <w:t xml:space="preserve">Врз основа нa член 36 став 1 точка 6 од Законот за локалната самоуправа („Сл.весник на РМ“ бр.5/02) и член </w:t>
      </w:r>
      <w:r w:rsidRPr="007C24D5">
        <w:rPr>
          <w:rFonts w:ascii="Times New Roman" w:hAnsi="Times New Roman"/>
          <w:sz w:val="24"/>
          <w:szCs w:val="24"/>
          <w:lang w:val="ru-RU"/>
        </w:rPr>
        <w:t>18</w:t>
      </w:r>
      <w:r w:rsidRPr="007C24D5">
        <w:rPr>
          <w:rFonts w:ascii="Times New Roman" w:hAnsi="Times New Roman"/>
          <w:sz w:val="24"/>
          <w:szCs w:val="24"/>
          <w:lang w:val="mk-MK"/>
        </w:rPr>
        <w:t xml:space="preserve"> став 1 точка 6 од Статутот на општина Охрид („Сл.гласник на општина Охрид“ бр.</w:t>
      </w:r>
      <w:r w:rsidRPr="007C24D5">
        <w:rPr>
          <w:rFonts w:ascii="Times New Roman" w:hAnsi="Times New Roman"/>
          <w:sz w:val="24"/>
          <w:szCs w:val="24"/>
        </w:rPr>
        <w:t xml:space="preserve"> 08/07, 01/08 ,10/10, 05/11, 09/14</w:t>
      </w:r>
      <w:r w:rsidRPr="007C24D5">
        <w:rPr>
          <w:rFonts w:ascii="Times New Roman" w:hAnsi="Times New Roman"/>
          <w:sz w:val="24"/>
          <w:szCs w:val="24"/>
          <w:lang w:val="mk-MK"/>
        </w:rPr>
        <w:t>,</w:t>
      </w:r>
      <w:r w:rsidRPr="007C24D5">
        <w:rPr>
          <w:rFonts w:ascii="Times New Roman" w:hAnsi="Times New Roman"/>
          <w:sz w:val="24"/>
          <w:szCs w:val="24"/>
        </w:rPr>
        <w:t xml:space="preserve"> 14/14</w:t>
      </w:r>
      <w:r w:rsidRPr="007C24D5">
        <w:rPr>
          <w:rFonts w:ascii="Times New Roman" w:hAnsi="Times New Roman"/>
          <w:sz w:val="24"/>
          <w:szCs w:val="24"/>
          <w:lang w:val="mk-MK"/>
        </w:rPr>
        <w:t xml:space="preserve">, 10/19 и 15/20), Советот на општина Охрид на седницата одржана на ден </w:t>
      </w:r>
      <w:r w:rsidR="004759DA" w:rsidRPr="007C24D5">
        <w:rPr>
          <w:rFonts w:ascii="Times New Roman" w:hAnsi="Times New Roman"/>
          <w:sz w:val="24"/>
          <w:szCs w:val="24"/>
          <w:lang w:val="en-US"/>
        </w:rPr>
        <w:t>______________</w:t>
      </w:r>
      <w:r w:rsidRPr="007C24D5">
        <w:rPr>
          <w:rFonts w:ascii="Times New Roman" w:hAnsi="Times New Roman"/>
          <w:sz w:val="24"/>
          <w:szCs w:val="24"/>
          <w:lang w:val="mk-MK"/>
        </w:rPr>
        <w:t xml:space="preserve"> година, ја донесе следната:</w:t>
      </w:r>
    </w:p>
    <w:p w:rsidR="00163678" w:rsidRPr="007C24D5" w:rsidRDefault="00163678" w:rsidP="00163678">
      <w:pPr>
        <w:autoSpaceDE w:val="0"/>
        <w:autoSpaceDN w:val="0"/>
        <w:adjustRightInd w:val="0"/>
        <w:jc w:val="center"/>
        <w:rPr>
          <w:rFonts w:ascii="Times New Roman" w:hAnsi="Times New Roman"/>
          <w:b/>
          <w:bCs/>
          <w:iCs/>
          <w:sz w:val="24"/>
          <w:szCs w:val="24"/>
          <w:lang w:val="mk-MK"/>
        </w:rPr>
      </w:pPr>
    </w:p>
    <w:p w:rsidR="00163678" w:rsidRPr="007C24D5" w:rsidRDefault="00163678" w:rsidP="00163678">
      <w:pPr>
        <w:autoSpaceDE w:val="0"/>
        <w:autoSpaceDN w:val="0"/>
        <w:adjustRightInd w:val="0"/>
        <w:jc w:val="center"/>
        <w:rPr>
          <w:rFonts w:ascii="Times New Roman" w:hAnsi="Times New Roman"/>
          <w:b/>
          <w:bCs/>
          <w:iCs/>
          <w:sz w:val="24"/>
          <w:szCs w:val="24"/>
          <w:lang w:val="mk-MK"/>
        </w:rPr>
      </w:pPr>
      <w:r w:rsidRPr="007C24D5">
        <w:rPr>
          <w:rFonts w:ascii="Times New Roman" w:hAnsi="Times New Roman"/>
          <w:b/>
          <w:bCs/>
          <w:iCs/>
          <w:sz w:val="24"/>
          <w:szCs w:val="24"/>
          <w:lang w:val="mk-MK"/>
        </w:rPr>
        <w:t xml:space="preserve">НАЦРТ- ПРОГРАМА ЗА ЕНЕРГЕТСКА ЕФИКАСНОСТ </w:t>
      </w:r>
    </w:p>
    <w:p w:rsidR="00163678" w:rsidRPr="007C24D5" w:rsidRDefault="00163678" w:rsidP="00163678">
      <w:pPr>
        <w:autoSpaceDE w:val="0"/>
        <w:autoSpaceDN w:val="0"/>
        <w:adjustRightInd w:val="0"/>
        <w:jc w:val="center"/>
        <w:rPr>
          <w:rFonts w:ascii="Times New Roman" w:hAnsi="Times New Roman"/>
          <w:b/>
          <w:bCs/>
          <w:iCs/>
          <w:sz w:val="24"/>
          <w:szCs w:val="24"/>
          <w:lang w:val="mk-MK"/>
        </w:rPr>
      </w:pPr>
      <w:r w:rsidRPr="007C24D5">
        <w:rPr>
          <w:rFonts w:ascii="Times New Roman" w:hAnsi="Times New Roman"/>
          <w:b/>
          <w:bCs/>
          <w:iCs/>
          <w:sz w:val="24"/>
          <w:szCs w:val="24"/>
          <w:lang w:val="mk-MK"/>
        </w:rPr>
        <w:t>ЗА 202</w:t>
      </w:r>
      <w:r w:rsidR="00CA7EB9" w:rsidRPr="007C24D5">
        <w:rPr>
          <w:rFonts w:ascii="Times New Roman" w:hAnsi="Times New Roman"/>
          <w:b/>
          <w:bCs/>
          <w:iCs/>
          <w:sz w:val="24"/>
          <w:szCs w:val="24"/>
          <w:lang w:val="mk-MK"/>
        </w:rPr>
        <w:t>5</w:t>
      </w:r>
      <w:r w:rsidRPr="007C24D5">
        <w:rPr>
          <w:rFonts w:ascii="Times New Roman" w:hAnsi="Times New Roman"/>
          <w:b/>
          <w:bCs/>
          <w:iCs/>
          <w:sz w:val="24"/>
          <w:szCs w:val="24"/>
          <w:lang w:val="mk-MK"/>
        </w:rPr>
        <w:t xml:space="preserve"> ГОДИНА</w:t>
      </w:r>
    </w:p>
    <w:p w:rsidR="00163678" w:rsidRPr="007C24D5" w:rsidRDefault="00163678" w:rsidP="00163678">
      <w:pPr>
        <w:autoSpaceDE w:val="0"/>
        <w:autoSpaceDN w:val="0"/>
        <w:adjustRightInd w:val="0"/>
        <w:rPr>
          <w:rFonts w:ascii="Times New Roman" w:hAnsi="Times New Roman"/>
          <w:b/>
          <w:bCs/>
          <w:iCs/>
          <w:sz w:val="24"/>
          <w:szCs w:val="24"/>
          <w:lang w:val="en-US"/>
        </w:rPr>
      </w:pPr>
      <w:r w:rsidRPr="007C24D5">
        <w:rPr>
          <w:rFonts w:ascii="Times New Roman" w:hAnsi="Times New Roman"/>
          <w:b/>
          <w:bCs/>
          <w:iCs/>
          <w:sz w:val="24"/>
          <w:szCs w:val="24"/>
          <w:lang w:val="mk-MK"/>
        </w:rPr>
        <w:t>Предговор</w:t>
      </w:r>
    </w:p>
    <w:p w:rsidR="000D25E2" w:rsidRPr="007C24D5" w:rsidRDefault="000D25E2" w:rsidP="00163678">
      <w:pPr>
        <w:autoSpaceDE w:val="0"/>
        <w:autoSpaceDN w:val="0"/>
        <w:adjustRightInd w:val="0"/>
        <w:rPr>
          <w:rFonts w:ascii="Times New Roman" w:hAnsi="Times New Roman"/>
          <w:b/>
          <w:bCs/>
          <w:iCs/>
          <w:sz w:val="24"/>
          <w:szCs w:val="24"/>
          <w:lang w:val="en-US"/>
        </w:rPr>
      </w:pPr>
    </w:p>
    <w:p w:rsidR="00EF1F4D" w:rsidRPr="007C24D5" w:rsidRDefault="00196993" w:rsidP="00EF1F4D">
      <w:pPr>
        <w:rPr>
          <w:rFonts w:ascii="Times New Roman" w:hAnsi="Times New Roman"/>
          <w:sz w:val="24"/>
          <w:szCs w:val="24"/>
          <w:lang w:val="mk-MK"/>
        </w:rPr>
      </w:pPr>
      <w:r w:rsidRPr="007C24D5">
        <w:rPr>
          <w:rFonts w:ascii="Times New Roman" w:hAnsi="Times New Roman"/>
          <w:sz w:val="24"/>
          <w:szCs w:val="24"/>
          <w:lang w:val="en-US"/>
        </w:rPr>
        <w:tab/>
      </w:r>
      <w:r w:rsidR="00EF1F4D" w:rsidRPr="007C24D5">
        <w:rPr>
          <w:rFonts w:ascii="Times New Roman" w:hAnsi="Times New Roman"/>
          <w:sz w:val="24"/>
          <w:szCs w:val="24"/>
          <w:lang w:val="mk-MK"/>
        </w:rPr>
        <w:t>Во согласност со Законот за енергетска ефикасност, единицата на локалната самоуправа ја имплементира својата тригодишна Програма за енергетска ефикасност (ПЕЕ) преку годишен Акционен План (АП) за Енергетска ефикасност.</w:t>
      </w:r>
    </w:p>
    <w:p w:rsidR="00EF1F4D" w:rsidRPr="007C24D5" w:rsidRDefault="00EF1F4D" w:rsidP="00EF1F4D">
      <w:pPr>
        <w:rPr>
          <w:rFonts w:ascii="Times New Roman" w:hAnsi="Times New Roman"/>
          <w:sz w:val="24"/>
          <w:szCs w:val="24"/>
          <w:lang w:val="mk-MK"/>
        </w:rPr>
      </w:pPr>
      <w:r w:rsidRPr="007C24D5">
        <w:rPr>
          <w:rFonts w:ascii="Times New Roman" w:hAnsi="Times New Roman"/>
          <w:sz w:val="24"/>
          <w:szCs w:val="24"/>
          <w:lang w:val="mk-MK"/>
        </w:rPr>
        <w:tab/>
        <w:t>Акциониот План за Енергетска Ефикасност на Општина Охрид ги дефинира приоритетните проекти кои ќе се спроведат во текот на годината 202</w:t>
      </w:r>
      <w:r w:rsidRPr="007C24D5">
        <w:rPr>
          <w:rFonts w:ascii="Times New Roman" w:hAnsi="Times New Roman"/>
          <w:sz w:val="24"/>
          <w:szCs w:val="24"/>
          <w:lang w:val="en-US"/>
        </w:rPr>
        <w:t>5</w:t>
      </w:r>
      <w:r w:rsidRPr="007C24D5">
        <w:rPr>
          <w:rFonts w:ascii="Times New Roman" w:hAnsi="Times New Roman"/>
          <w:sz w:val="24"/>
          <w:szCs w:val="24"/>
          <w:lang w:val="mk-MK"/>
        </w:rPr>
        <w:t xml:space="preserve"> со кои се дефинира три-годишната Програма за Енергетска Ефикасност (ПЕЕ) од 2024 до 2026, во согласност со Законот за енергетска ефикасност.</w:t>
      </w:r>
    </w:p>
    <w:p w:rsidR="00EF1F4D" w:rsidRPr="007C24D5" w:rsidRDefault="00EF1F4D" w:rsidP="00EF1F4D">
      <w:pPr>
        <w:rPr>
          <w:rFonts w:ascii="Times New Roman" w:hAnsi="Times New Roman"/>
          <w:sz w:val="24"/>
          <w:szCs w:val="24"/>
          <w:lang w:val="mk-MK"/>
        </w:rPr>
      </w:pPr>
      <w:r w:rsidRPr="007C24D5">
        <w:rPr>
          <w:rFonts w:ascii="Times New Roman" w:hAnsi="Times New Roman"/>
          <w:sz w:val="24"/>
          <w:szCs w:val="24"/>
          <w:lang w:val="mk-MK"/>
        </w:rPr>
        <w:tab/>
        <w:t>Со изработката на Програмата за Енергетска Ефикасност на Општината (ОПЕЕ), општината има за цел рационално и ефикасно да ги користи сите видови на енергија и на тој начин да оствари заштеда во буџетот, а со тоа постои можност за пренасочување на финансиските заштеди во подобрување на останатите сектори во општината.</w:t>
      </w:r>
    </w:p>
    <w:p w:rsidR="00EF1F4D" w:rsidRPr="007C24D5" w:rsidRDefault="00EF1F4D" w:rsidP="00EF1F4D">
      <w:pPr>
        <w:rPr>
          <w:rFonts w:ascii="Times New Roman" w:hAnsi="Times New Roman"/>
          <w:sz w:val="24"/>
          <w:szCs w:val="24"/>
          <w:lang w:val="mk-MK"/>
        </w:rPr>
      </w:pPr>
      <w:r w:rsidRPr="007C24D5">
        <w:rPr>
          <w:rFonts w:ascii="Times New Roman" w:hAnsi="Times New Roman"/>
          <w:sz w:val="24"/>
          <w:szCs w:val="24"/>
          <w:lang w:val="mk-MK"/>
        </w:rPr>
        <w:tab/>
        <w:t xml:space="preserve">Под ингеренции на Општина Охрид се секторот објекти: објектите на основните училишта и градинките, административната општинска зграда, јавното комунално претпријатие и јавното и улично осветление. </w:t>
      </w:r>
    </w:p>
    <w:p w:rsidR="00EF1F4D" w:rsidRPr="007C24D5" w:rsidRDefault="00EF1F4D" w:rsidP="00EF1F4D">
      <w:pPr>
        <w:rPr>
          <w:rFonts w:ascii="Times New Roman" w:hAnsi="Times New Roman"/>
          <w:sz w:val="24"/>
          <w:szCs w:val="24"/>
          <w:lang w:val="mk-MK"/>
        </w:rPr>
      </w:pPr>
      <w:r w:rsidRPr="007C24D5">
        <w:rPr>
          <w:rFonts w:ascii="Times New Roman" w:hAnsi="Times New Roman"/>
          <w:sz w:val="24"/>
          <w:szCs w:val="24"/>
          <w:lang w:val="mk-MK"/>
        </w:rPr>
        <w:tab/>
        <w:t>Со намалување на потрошувачката на енергија во наведените сектори, се намалуваат финансиските трошоци за енергија и се придонесува за подобрување на услугите и квалитетот на живеење на жителите во општината.</w:t>
      </w:r>
    </w:p>
    <w:p w:rsidR="00513C3C" w:rsidRPr="007C24D5" w:rsidRDefault="00513C3C" w:rsidP="00513C3C">
      <w:pPr>
        <w:pStyle w:val="Default"/>
        <w:ind w:firstLine="720"/>
        <w:jc w:val="both"/>
        <w:rPr>
          <w:rFonts w:ascii="Times New Roman" w:hAnsi="Times New Roman"/>
          <w:color w:val="auto"/>
          <w:lang w:val="ru-RU"/>
        </w:rPr>
      </w:pPr>
    </w:p>
    <w:p w:rsidR="00EF1F4D" w:rsidRPr="007C24D5" w:rsidRDefault="00EF1F4D" w:rsidP="00EF1F4D">
      <w:pPr>
        <w:pStyle w:val="Default"/>
        <w:ind w:firstLine="720"/>
        <w:jc w:val="both"/>
        <w:rPr>
          <w:rFonts w:ascii="Times New Roman" w:hAnsi="Times New Roman"/>
          <w:b/>
          <w:color w:val="auto"/>
          <w:lang w:val="ru-RU"/>
        </w:rPr>
      </w:pPr>
      <w:r w:rsidRPr="007C24D5">
        <w:rPr>
          <w:rFonts w:ascii="Times New Roman" w:hAnsi="Times New Roman"/>
          <w:b/>
          <w:color w:val="auto"/>
          <w:lang w:val="ru-RU"/>
        </w:rPr>
        <w:t>EE проекти кои се вклучени во акциониот план</w:t>
      </w:r>
    </w:p>
    <w:p w:rsidR="00EF1F4D" w:rsidRPr="007C24D5" w:rsidRDefault="00EF1F4D" w:rsidP="00EF1F4D">
      <w:pPr>
        <w:pStyle w:val="Default"/>
        <w:ind w:firstLine="720"/>
        <w:jc w:val="both"/>
        <w:rPr>
          <w:rFonts w:ascii="Times New Roman" w:hAnsi="Times New Roman"/>
          <w:color w:val="auto"/>
          <w:lang w:val="ru-RU"/>
        </w:rPr>
      </w:pPr>
      <w:r w:rsidRPr="007C24D5">
        <w:rPr>
          <w:rFonts w:ascii="Times New Roman" w:hAnsi="Times New Roman"/>
          <w:color w:val="auto"/>
          <w:lang w:val="ru-RU"/>
        </w:rPr>
        <w:t xml:space="preserve"> </w:t>
      </w:r>
    </w:p>
    <w:p w:rsidR="00EF1F4D" w:rsidRPr="007C24D5" w:rsidRDefault="00EF1F4D" w:rsidP="00EF1F4D">
      <w:pPr>
        <w:pStyle w:val="Default"/>
        <w:ind w:firstLine="720"/>
        <w:jc w:val="both"/>
        <w:rPr>
          <w:rFonts w:ascii="Times New Roman" w:hAnsi="Times New Roman"/>
          <w:color w:val="auto"/>
          <w:lang w:val="ru-RU"/>
        </w:rPr>
      </w:pPr>
      <w:r w:rsidRPr="007C24D5">
        <w:rPr>
          <w:rFonts w:ascii="Times New Roman" w:hAnsi="Times New Roman"/>
          <w:color w:val="auto"/>
          <w:lang w:val="ru-RU"/>
        </w:rPr>
        <w:t>Во согласност со националниот Акционен план за енергетска ефикасност предвидени се мерките кои се опфатени во него. Предвидените мерки спаѓаат во секторот јавни објекти. Според АПЕЕ енергетската потрошувачка во овој сектор главно ја сочинува електричната енергија, топлинската енергија и нафтените производи (нафта за греење, таканаречено „Д2” гориво итн.). Се предвидува на краткорочен план, фокусот да биде ставен на јавниот сектор, бидејќи е полесно истиот да биде опфатен со мерки на политиката.</w:t>
      </w:r>
    </w:p>
    <w:p w:rsidR="00EF1F4D" w:rsidRPr="007C24D5" w:rsidRDefault="00EF1F4D" w:rsidP="00513C3C">
      <w:pPr>
        <w:pStyle w:val="Default"/>
        <w:ind w:firstLine="720"/>
        <w:jc w:val="both"/>
        <w:rPr>
          <w:rFonts w:ascii="Times New Roman" w:hAnsi="Times New Roman"/>
          <w:color w:val="auto"/>
          <w:lang w:val="ru-RU"/>
        </w:rPr>
      </w:pPr>
    </w:p>
    <w:p w:rsidR="00D1686C" w:rsidRPr="007C24D5" w:rsidRDefault="000D25E2" w:rsidP="00513C3C">
      <w:pPr>
        <w:pStyle w:val="Default"/>
        <w:ind w:firstLine="720"/>
        <w:jc w:val="both"/>
        <w:rPr>
          <w:rFonts w:ascii="Times New Roman" w:hAnsi="Times New Roman" w:cs="Times New Roman"/>
          <w:b/>
          <w:bCs/>
          <w:iCs/>
          <w:color w:val="auto"/>
          <w:lang w:val="ru-RU"/>
        </w:rPr>
      </w:pPr>
      <w:r w:rsidRPr="007C24D5">
        <w:rPr>
          <w:rFonts w:ascii="Times New Roman" w:hAnsi="Times New Roman" w:cs="Times New Roman"/>
          <w:b/>
          <w:bCs/>
          <w:iCs/>
          <w:color w:val="auto"/>
          <w:lang w:val="mk-MK"/>
        </w:rPr>
        <w:t>Б</w:t>
      </w:r>
      <w:r w:rsidR="00D1686C" w:rsidRPr="007C24D5">
        <w:rPr>
          <w:rFonts w:ascii="Times New Roman" w:hAnsi="Times New Roman" w:cs="Times New Roman"/>
          <w:b/>
          <w:bCs/>
          <w:iCs/>
          <w:color w:val="auto"/>
          <w:lang w:val="ru-RU"/>
        </w:rPr>
        <w:t>уџет за реализација на проектна документација за</w:t>
      </w:r>
      <w:r w:rsidR="00513C3C" w:rsidRPr="007C24D5">
        <w:rPr>
          <w:rFonts w:ascii="Times New Roman" w:hAnsi="Times New Roman" w:cs="Times New Roman"/>
          <w:b/>
          <w:bCs/>
          <w:iCs/>
          <w:color w:val="auto"/>
          <w:lang w:val="ru-RU"/>
        </w:rPr>
        <w:t xml:space="preserve"> ЕЕ за 202</w:t>
      </w:r>
      <w:r w:rsidR="00351836" w:rsidRPr="007C24D5">
        <w:rPr>
          <w:rFonts w:ascii="Times New Roman" w:hAnsi="Times New Roman" w:cs="Times New Roman"/>
          <w:b/>
          <w:bCs/>
          <w:iCs/>
          <w:color w:val="auto"/>
          <w:lang w:val="ru-RU"/>
        </w:rPr>
        <w:t>5 год.</w:t>
      </w:r>
    </w:p>
    <w:p w:rsidR="00513C3C" w:rsidRPr="007C24D5" w:rsidRDefault="00513C3C" w:rsidP="00513C3C">
      <w:pPr>
        <w:pStyle w:val="Default"/>
        <w:ind w:firstLine="720"/>
        <w:jc w:val="both"/>
        <w:rPr>
          <w:rFonts w:ascii="Times New Roman" w:hAnsi="Times New Roman" w:cs="Times New Roman"/>
          <w:bCs/>
          <w:iCs/>
          <w:color w:val="auto"/>
          <w:sz w:val="16"/>
          <w:szCs w:val="16"/>
          <w:lang w:val="ru-RU"/>
        </w:rPr>
      </w:pPr>
    </w:p>
    <w:p w:rsidR="00321809" w:rsidRPr="007C24D5" w:rsidRDefault="00321809" w:rsidP="00513C3C">
      <w:pPr>
        <w:pStyle w:val="Default"/>
        <w:ind w:firstLine="720"/>
        <w:jc w:val="both"/>
        <w:rPr>
          <w:rFonts w:ascii="Times New Roman" w:hAnsi="Times New Roman" w:cs="Times New Roman"/>
          <w:bCs/>
          <w:iCs/>
          <w:color w:val="auto"/>
          <w:lang w:val="ru-RU"/>
        </w:rPr>
      </w:pPr>
      <w:r w:rsidRPr="007C24D5">
        <w:rPr>
          <w:rFonts w:ascii="Times New Roman" w:hAnsi="Times New Roman" w:cs="Times New Roman"/>
          <w:bCs/>
          <w:iCs/>
          <w:color w:val="auto"/>
          <w:lang w:val="ru-RU"/>
        </w:rPr>
        <w:t>Вкупниот проценет буџет за спроведување на годишниот Акционен План (АП) за годината 2025 изнесува 900.000 МКД</w:t>
      </w:r>
      <w:r w:rsidR="006739B8" w:rsidRPr="007C24D5">
        <w:rPr>
          <w:rFonts w:ascii="Times New Roman" w:hAnsi="Times New Roman" w:cs="Times New Roman"/>
          <w:bCs/>
          <w:iCs/>
          <w:color w:val="auto"/>
          <w:lang w:val="ru-RU"/>
        </w:rPr>
        <w:t>,</w:t>
      </w:r>
      <w:r w:rsidRPr="007C24D5">
        <w:rPr>
          <w:rFonts w:ascii="Times New Roman" w:hAnsi="Times New Roman" w:cs="Times New Roman"/>
          <w:bCs/>
          <w:iCs/>
          <w:color w:val="auto"/>
          <w:lang w:val="ru-RU"/>
        </w:rPr>
        <w:t>исти</w:t>
      </w:r>
      <w:r w:rsidR="006739B8" w:rsidRPr="007C24D5">
        <w:rPr>
          <w:rFonts w:ascii="Times New Roman" w:hAnsi="Times New Roman" w:cs="Times New Roman"/>
          <w:bCs/>
          <w:iCs/>
          <w:color w:val="auto"/>
          <w:lang w:val="ru-RU"/>
        </w:rPr>
        <w:t>от</w:t>
      </w:r>
      <w:r w:rsidRPr="007C24D5">
        <w:rPr>
          <w:rFonts w:ascii="Times New Roman" w:hAnsi="Times New Roman" w:cs="Times New Roman"/>
          <w:bCs/>
          <w:iCs/>
          <w:color w:val="auto"/>
          <w:lang w:val="ru-RU"/>
        </w:rPr>
        <w:t xml:space="preserve"> е прикажан во табелата дадена подолу.</w:t>
      </w:r>
    </w:p>
    <w:p w:rsidR="00513C3C" w:rsidRPr="007C24D5" w:rsidRDefault="00513C3C" w:rsidP="00513C3C">
      <w:pPr>
        <w:pStyle w:val="Default"/>
        <w:ind w:firstLine="720"/>
        <w:jc w:val="both"/>
        <w:rPr>
          <w:rFonts w:ascii="Times New Roman" w:hAnsi="Times New Roman" w:cs="Times New Roman"/>
          <w:bCs/>
          <w:iCs/>
          <w:color w:val="auto"/>
        </w:rPr>
      </w:pPr>
      <w:r w:rsidRPr="007C24D5">
        <w:rPr>
          <w:rFonts w:ascii="Times New Roman" w:hAnsi="Times New Roman" w:cs="Times New Roman"/>
          <w:bCs/>
          <w:iCs/>
          <w:color w:val="auto"/>
          <w:lang w:val="ru-RU"/>
        </w:rPr>
        <w:t>Заради потребата годишната програма да соодветствува на реалните можности, се планира за следната 2025 година реализацијата од сопствени средства да изнесува 900.000 денари, а средствата потребни за непосредна реализација да се обезбедат комбинирано, како и сопствени така и од надворешни извори</w:t>
      </w:r>
      <w:r w:rsidR="00321809" w:rsidRPr="007C24D5">
        <w:rPr>
          <w:rFonts w:ascii="Times New Roman" w:hAnsi="Times New Roman" w:cs="Times New Roman"/>
          <w:bCs/>
          <w:iCs/>
          <w:color w:val="auto"/>
          <w:lang w:val="ru-RU"/>
        </w:rPr>
        <w:t xml:space="preserve">, затоа што тие средства за непосредната реализација се многу поголеми и истите </w:t>
      </w:r>
      <w:r w:rsidR="006739B8" w:rsidRPr="007C24D5">
        <w:rPr>
          <w:rFonts w:ascii="Times New Roman" w:hAnsi="Times New Roman" w:cs="Times New Roman"/>
          <w:bCs/>
          <w:iCs/>
          <w:color w:val="auto"/>
          <w:lang w:val="ru-RU"/>
        </w:rPr>
        <w:t>се координираат и се реализираат преку соодветните општински сектори, во чија надлежност се објектите предмет на ЕЕ.</w:t>
      </w:r>
    </w:p>
    <w:p w:rsidR="00D1686C" w:rsidRPr="007C24D5" w:rsidRDefault="00791199" w:rsidP="00D1686C">
      <w:pPr>
        <w:autoSpaceDE w:val="0"/>
        <w:autoSpaceDN w:val="0"/>
        <w:adjustRightInd w:val="0"/>
        <w:ind w:firstLine="720"/>
        <w:jc w:val="both"/>
        <w:rPr>
          <w:rFonts w:ascii="Times New Roman" w:hAnsi="Times New Roman"/>
          <w:sz w:val="24"/>
          <w:szCs w:val="24"/>
          <w:lang w:val="mk-MK"/>
        </w:rPr>
      </w:pPr>
      <w:r w:rsidRPr="007C24D5">
        <w:rPr>
          <w:rFonts w:ascii="Times New Roman" w:hAnsi="Times New Roman"/>
          <w:sz w:val="24"/>
          <w:szCs w:val="24"/>
          <w:lang w:val="ru-RU"/>
        </w:rPr>
        <w:lastRenderedPageBreak/>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9"/>
        <w:gridCol w:w="2104"/>
        <w:gridCol w:w="2109"/>
      </w:tblGrid>
      <w:tr w:rsidR="007C24D5" w:rsidRPr="007C24D5" w:rsidTr="004F64C3">
        <w:tc>
          <w:tcPr>
            <w:tcW w:w="4410" w:type="dxa"/>
            <w:tcBorders>
              <w:top w:val="single" w:sz="18" w:space="0" w:color="auto"/>
              <w:left w:val="single" w:sz="18" w:space="0" w:color="auto"/>
              <w:bottom w:val="single" w:sz="18" w:space="0" w:color="auto"/>
              <w:right w:val="single" w:sz="4" w:space="0" w:color="auto"/>
            </w:tcBorders>
            <w:shd w:val="clear" w:color="auto" w:fill="76923C"/>
            <w:hideMark/>
          </w:tcPr>
          <w:p w:rsidR="00D1686C" w:rsidRPr="007C24D5" w:rsidRDefault="00D1686C" w:rsidP="005112BF">
            <w:pPr>
              <w:jc w:val="both"/>
              <w:rPr>
                <w:rFonts w:ascii="Times New Roman" w:hAnsi="Times New Roman"/>
                <w:b/>
                <w:sz w:val="24"/>
                <w:szCs w:val="24"/>
                <w:lang w:val="mk-MK"/>
              </w:rPr>
            </w:pPr>
            <w:r w:rsidRPr="007C24D5">
              <w:rPr>
                <w:rFonts w:ascii="Times New Roman" w:hAnsi="Times New Roman"/>
                <w:b/>
                <w:sz w:val="24"/>
                <w:szCs w:val="24"/>
                <w:lang w:val="mk-MK"/>
              </w:rPr>
              <w:t>Тип</w:t>
            </w:r>
          </w:p>
        </w:tc>
        <w:tc>
          <w:tcPr>
            <w:tcW w:w="2160" w:type="dxa"/>
            <w:tcBorders>
              <w:top w:val="single" w:sz="18" w:space="0" w:color="auto"/>
              <w:left w:val="single" w:sz="4" w:space="0" w:color="auto"/>
              <w:bottom w:val="single" w:sz="18" w:space="0" w:color="auto"/>
              <w:right w:val="single" w:sz="4" w:space="0" w:color="auto"/>
            </w:tcBorders>
            <w:shd w:val="clear" w:color="auto" w:fill="76923C"/>
            <w:hideMark/>
          </w:tcPr>
          <w:p w:rsidR="00D1686C" w:rsidRPr="007C24D5" w:rsidRDefault="00D1686C" w:rsidP="005112BF">
            <w:pPr>
              <w:jc w:val="both"/>
              <w:rPr>
                <w:rFonts w:ascii="Times New Roman" w:hAnsi="Times New Roman"/>
                <w:b/>
                <w:sz w:val="24"/>
                <w:szCs w:val="24"/>
                <w:lang w:val="mk-MK"/>
              </w:rPr>
            </w:pPr>
            <w:r w:rsidRPr="007C24D5">
              <w:rPr>
                <w:rFonts w:ascii="Times New Roman" w:hAnsi="Times New Roman"/>
                <w:b/>
                <w:sz w:val="24"/>
                <w:szCs w:val="24"/>
                <w:lang w:val="mk-MK"/>
              </w:rPr>
              <w:t>Извор</w:t>
            </w:r>
          </w:p>
        </w:tc>
        <w:tc>
          <w:tcPr>
            <w:tcW w:w="2160" w:type="dxa"/>
            <w:tcBorders>
              <w:top w:val="single" w:sz="18" w:space="0" w:color="auto"/>
              <w:left w:val="single" w:sz="4" w:space="0" w:color="auto"/>
              <w:bottom w:val="single" w:sz="18" w:space="0" w:color="auto"/>
              <w:right w:val="single" w:sz="18" w:space="0" w:color="auto"/>
            </w:tcBorders>
            <w:shd w:val="clear" w:color="auto" w:fill="76923C"/>
            <w:hideMark/>
          </w:tcPr>
          <w:p w:rsidR="00D1686C" w:rsidRPr="007C24D5" w:rsidRDefault="00D1686C" w:rsidP="005112BF">
            <w:pPr>
              <w:jc w:val="center"/>
              <w:rPr>
                <w:rFonts w:ascii="Times New Roman" w:hAnsi="Times New Roman"/>
                <w:b/>
                <w:sz w:val="24"/>
                <w:szCs w:val="24"/>
                <w:lang w:val="mk-MK"/>
              </w:rPr>
            </w:pPr>
            <w:r w:rsidRPr="007C24D5">
              <w:rPr>
                <w:rFonts w:ascii="Times New Roman" w:hAnsi="Times New Roman"/>
                <w:b/>
                <w:sz w:val="24"/>
                <w:szCs w:val="24"/>
                <w:lang w:val="mk-MK"/>
              </w:rPr>
              <w:t>предвидени средства за Е. Е. (ден/год.)</w:t>
            </w:r>
          </w:p>
        </w:tc>
      </w:tr>
      <w:tr w:rsidR="007C24D5" w:rsidRPr="007C24D5" w:rsidTr="004759DA">
        <w:tc>
          <w:tcPr>
            <w:tcW w:w="4410" w:type="dxa"/>
            <w:tcBorders>
              <w:top w:val="single" w:sz="18" w:space="0" w:color="auto"/>
              <w:left w:val="single" w:sz="18" w:space="0" w:color="auto"/>
              <w:bottom w:val="single" w:sz="4" w:space="0" w:color="auto"/>
              <w:right w:val="single" w:sz="4" w:space="0" w:color="auto"/>
            </w:tcBorders>
            <w:shd w:val="clear" w:color="auto" w:fill="D6E3BC"/>
          </w:tcPr>
          <w:p w:rsidR="00D1686C" w:rsidRPr="007C24D5" w:rsidRDefault="00D1686C" w:rsidP="005112BF">
            <w:pPr>
              <w:ind w:right="-108"/>
              <w:rPr>
                <w:rFonts w:ascii="Times New Roman" w:hAnsi="Times New Roman"/>
                <w:b/>
                <w:sz w:val="24"/>
                <w:szCs w:val="24"/>
                <w:lang w:val="mk-MK"/>
              </w:rPr>
            </w:pPr>
            <w:r w:rsidRPr="007C24D5">
              <w:rPr>
                <w:rFonts w:ascii="Times New Roman" w:hAnsi="Times New Roman"/>
                <w:b/>
                <w:sz w:val="24"/>
                <w:szCs w:val="24"/>
                <w:lang w:val="mk-MK"/>
              </w:rPr>
              <w:t>Сопствени средства за:</w:t>
            </w:r>
          </w:p>
        </w:tc>
        <w:tc>
          <w:tcPr>
            <w:tcW w:w="2160" w:type="dxa"/>
            <w:tcBorders>
              <w:top w:val="single" w:sz="18" w:space="0" w:color="auto"/>
              <w:left w:val="single" w:sz="4" w:space="0" w:color="auto"/>
              <w:bottom w:val="single" w:sz="4" w:space="0" w:color="auto"/>
              <w:right w:val="single" w:sz="4" w:space="0" w:color="auto"/>
            </w:tcBorders>
          </w:tcPr>
          <w:p w:rsidR="00D1686C" w:rsidRPr="007C24D5" w:rsidRDefault="00D1686C" w:rsidP="004759DA">
            <w:pPr>
              <w:rPr>
                <w:rFonts w:ascii="Times New Roman" w:hAnsi="Times New Roman"/>
                <w:sz w:val="24"/>
                <w:szCs w:val="24"/>
                <w:lang w:val="mk-MK"/>
              </w:rPr>
            </w:pPr>
            <w:r w:rsidRPr="007C24D5">
              <w:rPr>
                <w:rFonts w:ascii="Times New Roman" w:hAnsi="Times New Roman"/>
                <w:sz w:val="24"/>
                <w:szCs w:val="24"/>
                <w:lang w:val="mk-MK"/>
              </w:rPr>
              <w:t>Општински Буџет за 202</w:t>
            </w:r>
            <w:r w:rsidR="004759DA" w:rsidRPr="007C24D5">
              <w:rPr>
                <w:rFonts w:ascii="Times New Roman" w:hAnsi="Times New Roman"/>
                <w:sz w:val="24"/>
                <w:szCs w:val="24"/>
                <w:lang w:val="mk-MK"/>
              </w:rPr>
              <w:t>5</w:t>
            </w:r>
            <w:r w:rsidR="00D05B97" w:rsidRPr="007C24D5">
              <w:rPr>
                <w:rFonts w:ascii="Times New Roman" w:hAnsi="Times New Roman"/>
                <w:sz w:val="24"/>
                <w:szCs w:val="24"/>
                <w:lang w:val="mk-MK"/>
              </w:rPr>
              <w:t xml:space="preserve"> година</w:t>
            </w:r>
          </w:p>
        </w:tc>
        <w:tc>
          <w:tcPr>
            <w:tcW w:w="2160" w:type="dxa"/>
            <w:tcBorders>
              <w:top w:val="single" w:sz="18" w:space="0" w:color="auto"/>
              <w:left w:val="single" w:sz="4" w:space="0" w:color="auto"/>
              <w:bottom w:val="single" w:sz="4" w:space="0" w:color="auto"/>
              <w:right w:val="single" w:sz="18" w:space="0" w:color="auto"/>
            </w:tcBorders>
          </w:tcPr>
          <w:p w:rsidR="00D1686C" w:rsidRPr="007C24D5" w:rsidRDefault="00D1686C" w:rsidP="00B75490">
            <w:pPr>
              <w:jc w:val="right"/>
              <w:rPr>
                <w:rFonts w:ascii="Times New Roman" w:hAnsi="Times New Roman"/>
                <w:sz w:val="24"/>
                <w:szCs w:val="24"/>
                <w:lang w:val="mk-MK"/>
              </w:rPr>
            </w:pPr>
          </w:p>
        </w:tc>
      </w:tr>
      <w:tr w:rsidR="007C24D5" w:rsidRPr="007C24D5" w:rsidTr="00B50305">
        <w:tc>
          <w:tcPr>
            <w:tcW w:w="4410" w:type="dxa"/>
            <w:tcBorders>
              <w:top w:val="single" w:sz="18" w:space="0" w:color="auto"/>
              <w:left w:val="single" w:sz="18" w:space="0" w:color="auto"/>
              <w:bottom w:val="single" w:sz="4" w:space="0" w:color="auto"/>
              <w:right w:val="single" w:sz="4" w:space="0" w:color="auto"/>
            </w:tcBorders>
            <w:shd w:val="clear" w:color="auto" w:fill="D6E3BC"/>
          </w:tcPr>
          <w:p w:rsidR="00C5096B" w:rsidRPr="007C24D5" w:rsidRDefault="00C5096B" w:rsidP="00C5096B">
            <w:pPr>
              <w:jc w:val="both"/>
              <w:rPr>
                <w:rFonts w:ascii="Times New Roman" w:hAnsi="Times New Roman"/>
                <w:sz w:val="24"/>
                <w:szCs w:val="24"/>
                <w:lang w:val="mk-MK"/>
              </w:rPr>
            </w:pPr>
            <w:r w:rsidRPr="007C24D5">
              <w:rPr>
                <w:rFonts w:ascii="Times New Roman" w:hAnsi="Times New Roman"/>
                <w:sz w:val="24"/>
                <w:szCs w:val="24"/>
                <w:lang w:val="mk-MK"/>
              </w:rPr>
              <w:t xml:space="preserve">1. Изработка на годишен план за 2025 </w:t>
            </w:r>
          </w:p>
          <w:p w:rsidR="00C5096B" w:rsidRPr="007C24D5" w:rsidRDefault="00C5096B" w:rsidP="00C5096B">
            <w:pPr>
              <w:jc w:val="both"/>
              <w:rPr>
                <w:rFonts w:ascii="Times New Roman" w:hAnsi="Times New Roman"/>
                <w:sz w:val="24"/>
                <w:szCs w:val="24"/>
                <w:lang w:val="mk-MK"/>
              </w:rPr>
            </w:pPr>
            <w:r w:rsidRPr="007C24D5">
              <w:rPr>
                <w:rFonts w:ascii="Times New Roman" w:hAnsi="Times New Roman"/>
                <w:sz w:val="24"/>
                <w:szCs w:val="24"/>
                <w:lang w:val="mk-MK"/>
              </w:rPr>
              <w:t xml:space="preserve">    година, како дел од реализацијата на </w:t>
            </w:r>
          </w:p>
          <w:p w:rsidR="00C5096B" w:rsidRPr="007C24D5" w:rsidRDefault="00C5096B" w:rsidP="00F6313A">
            <w:pPr>
              <w:ind w:right="-95"/>
              <w:jc w:val="both"/>
              <w:rPr>
                <w:rFonts w:ascii="Times New Roman" w:hAnsi="Times New Roman"/>
                <w:sz w:val="24"/>
                <w:szCs w:val="24"/>
                <w:lang w:val="mk-MK"/>
              </w:rPr>
            </w:pPr>
            <w:r w:rsidRPr="007C24D5">
              <w:rPr>
                <w:rFonts w:ascii="Times New Roman" w:hAnsi="Times New Roman"/>
                <w:sz w:val="24"/>
                <w:szCs w:val="24"/>
                <w:lang w:val="mk-MK"/>
              </w:rPr>
              <w:t xml:space="preserve">    тригодишна програма за ЕЕ 2024-</w:t>
            </w:r>
            <w:r w:rsidR="00F6313A" w:rsidRPr="007C24D5">
              <w:rPr>
                <w:rFonts w:ascii="Times New Roman" w:hAnsi="Times New Roman"/>
                <w:sz w:val="24"/>
                <w:szCs w:val="24"/>
                <w:lang w:val="mk-MK"/>
              </w:rPr>
              <w:t>20</w:t>
            </w:r>
            <w:r w:rsidRPr="007C24D5">
              <w:rPr>
                <w:rFonts w:ascii="Times New Roman" w:hAnsi="Times New Roman"/>
                <w:sz w:val="24"/>
                <w:szCs w:val="24"/>
                <w:lang w:val="mk-MK"/>
              </w:rPr>
              <w:t>26 г.</w:t>
            </w:r>
            <w:r w:rsidR="00AA257F" w:rsidRPr="007C24D5">
              <w:rPr>
                <w:rFonts w:ascii="Times New Roman" w:hAnsi="Times New Roman"/>
                <w:sz w:val="24"/>
                <w:szCs w:val="24"/>
                <w:lang w:val="mk-MK"/>
              </w:rPr>
              <w:t xml:space="preserve"> </w:t>
            </w:r>
            <w:r w:rsidR="00F6313A" w:rsidRPr="007C24D5">
              <w:rPr>
                <w:rFonts w:ascii="Times New Roman" w:hAnsi="Times New Roman"/>
                <w:sz w:val="24"/>
                <w:szCs w:val="24"/>
                <w:lang w:val="mk-MK"/>
              </w:rPr>
              <w:t xml:space="preserve"> </w:t>
            </w:r>
          </w:p>
        </w:tc>
        <w:tc>
          <w:tcPr>
            <w:tcW w:w="2160" w:type="dxa"/>
            <w:tcBorders>
              <w:top w:val="single" w:sz="18" w:space="0" w:color="auto"/>
              <w:left w:val="single" w:sz="4" w:space="0" w:color="auto"/>
              <w:bottom w:val="single" w:sz="4" w:space="0" w:color="auto"/>
              <w:right w:val="single" w:sz="4" w:space="0" w:color="auto"/>
            </w:tcBorders>
          </w:tcPr>
          <w:p w:rsidR="00C5096B" w:rsidRPr="007C24D5" w:rsidRDefault="00C5096B" w:rsidP="00C5096B">
            <w:pPr>
              <w:jc w:val="both"/>
              <w:rPr>
                <w:rFonts w:ascii="Times New Roman" w:hAnsi="Times New Roman"/>
                <w:sz w:val="24"/>
                <w:szCs w:val="24"/>
                <w:lang w:val="mk-MK"/>
              </w:rPr>
            </w:pPr>
          </w:p>
        </w:tc>
        <w:tc>
          <w:tcPr>
            <w:tcW w:w="2160" w:type="dxa"/>
            <w:tcBorders>
              <w:top w:val="single" w:sz="18" w:space="0" w:color="auto"/>
              <w:left w:val="single" w:sz="4" w:space="0" w:color="auto"/>
              <w:bottom w:val="single" w:sz="4" w:space="0" w:color="auto"/>
              <w:right w:val="single" w:sz="18" w:space="0" w:color="auto"/>
            </w:tcBorders>
            <w:vAlign w:val="center"/>
            <w:hideMark/>
          </w:tcPr>
          <w:p w:rsidR="00C5096B" w:rsidRPr="007C24D5" w:rsidRDefault="00C5096B" w:rsidP="000B50C8">
            <w:pPr>
              <w:jc w:val="right"/>
              <w:rPr>
                <w:rFonts w:ascii="Times New Roman" w:hAnsi="Times New Roman"/>
                <w:sz w:val="24"/>
                <w:szCs w:val="24"/>
                <w:lang w:val="mk-MK"/>
              </w:rPr>
            </w:pPr>
            <w:r w:rsidRPr="007C24D5">
              <w:rPr>
                <w:rFonts w:ascii="Times New Roman" w:hAnsi="Times New Roman"/>
                <w:sz w:val="24"/>
                <w:szCs w:val="24"/>
                <w:lang w:val="mk-MK"/>
              </w:rPr>
              <w:t xml:space="preserve">   </w:t>
            </w:r>
            <w:r w:rsidR="00B50305" w:rsidRPr="007C24D5">
              <w:rPr>
                <w:rFonts w:ascii="Times New Roman" w:hAnsi="Times New Roman"/>
                <w:sz w:val="24"/>
                <w:szCs w:val="24"/>
                <w:lang w:val="mk-MK"/>
              </w:rPr>
              <w:t>5</w:t>
            </w:r>
            <w:r w:rsidR="000B50C8" w:rsidRPr="007C24D5">
              <w:rPr>
                <w:rFonts w:ascii="Times New Roman" w:hAnsi="Times New Roman"/>
                <w:sz w:val="24"/>
                <w:szCs w:val="24"/>
                <w:lang w:val="mk-MK"/>
              </w:rPr>
              <w:t>2</w:t>
            </w:r>
            <w:r w:rsidRPr="007C24D5">
              <w:rPr>
                <w:rFonts w:ascii="Times New Roman" w:hAnsi="Times New Roman"/>
                <w:sz w:val="24"/>
                <w:szCs w:val="24"/>
                <w:lang w:val="mk-MK"/>
              </w:rPr>
              <w:t>0.000,00</w:t>
            </w:r>
          </w:p>
        </w:tc>
      </w:tr>
      <w:tr w:rsidR="007C24D5" w:rsidRPr="007C24D5" w:rsidTr="004F64C3">
        <w:tc>
          <w:tcPr>
            <w:tcW w:w="4410" w:type="dxa"/>
            <w:tcBorders>
              <w:top w:val="single" w:sz="18" w:space="0" w:color="auto"/>
              <w:left w:val="single" w:sz="18" w:space="0" w:color="auto"/>
              <w:bottom w:val="single" w:sz="4" w:space="0" w:color="auto"/>
              <w:right w:val="single" w:sz="4" w:space="0" w:color="auto"/>
            </w:tcBorders>
            <w:shd w:val="clear" w:color="auto" w:fill="D6E3BC"/>
          </w:tcPr>
          <w:p w:rsidR="00B75490" w:rsidRPr="007C24D5" w:rsidRDefault="00B75490" w:rsidP="00F6313A">
            <w:pPr>
              <w:jc w:val="both"/>
              <w:rPr>
                <w:rFonts w:ascii="Times New Roman" w:hAnsi="Times New Roman"/>
                <w:sz w:val="24"/>
                <w:szCs w:val="24"/>
                <w:lang w:val="mk-MK"/>
              </w:rPr>
            </w:pPr>
            <w:r w:rsidRPr="007C24D5">
              <w:rPr>
                <w:rFonts w:ascii="Times New Roman" w:hAnsi="Times New Roman"/>
                <w:sz w:val="24"/>
                <w:szCs w:val="24"/>
                <w:lang w:val="en-US"/>
              </w:rPr>
              <w:t xml:space="preserve">2. </w:t>
            </w:r>
            <w:r w:rsidRPr="007C24D5">
              <w:rPr>
                <w:rFonts w:ascii="Times New Roman" w:hAnsi="Times New Roman"/>
                <w:sz w:val="24"/>
                <w:szCs w:val="24"/>
                <w:lang w:val="mk-MK"/>
              </w:rPr>
              <w:t xml:space="preserve">Консултантски услуги </w:t>
            </w:r>
            <w:r w:rsidR="00F6313A" w:rsidRPr="007C24D5">
              <w:rPr>
                <w:rFonts w:ascii="Times New Roman" w:hAnsi="Times New Roman"/>
                <w:sz w:val="24"/>
                <w:szCs w:val="24"/>
                <w:lang w:val="mk-MK"/>
              </w:rPr>
              <w:t xml:space="preserve"> </w:t>
            </w:r>
          </w:p>
        </w:tc>
        <w:tc>
          <w:tcPr>
            <w:tcW w:w="2160" w:type="dxa"/>
            <w:tcBorders>
              <w:top w:val="single" w:sz="18" w:space="0" w:color="auto"/>
              <w:left w:val="single" w:sz="4" w:space="0" w:color="auto"/>
              <w:bottom w:val="single" w:sz="4" w:space="0" w:color="auto"/>
              <w:right w:val="single" w:sz="4" w:space="0" w:color="auto"/>
            </w:tcBorders>
          </w:tcPr>
          <w:p w:rsidR="00B75490" w:rsidRPr="007C24D5" w:rsidRDefault="00B75490" w:rsidP="005A20E3">
            <w:pPr>
              <w:jc w:val="right"/>
              <w:rPr>
                <w:rFonts w:ascii="Times New Roman" w:hAnsi="Times New Roman"/>
                <w:sz w:val="24"/>
                <w:szCs w:val="24"/>
                <w:lang w:val="mk-MK"/>
              </w:rPr>
            </w:pPr>
          </w:p>
        </w:tc>
        <w:tc>
          <w:tcPr>
            <w:tcW w:w="2160" w:type="dxa"/>
            <w:tcBorders>
              <w:top w:val="single" w:sz="18" w:space="0" w:color="auto"/>
              <w:left w:val="single" w:sz="4" w:space="0" w:color="auto"/>
              <w:bottom w:val="single" w:sz="4" w:space="0" w:color="auto"/>
              <w:right w:val="single" w:sz="18" w:space="0" w:color="auto"/>
            </w:tcBorders>
            <w:hideMark/>
          </w:tcPr>
          <w:p w:rsidR="00B75490" w:rsidRPr="007C24D5" w:rsidRDefault="00B75490" w:rsidP="00B75490">
            <w:pPr>
              <w:jc w:val="right"/>
              <w:rPr>
                <w:rFonts w:ascii="Times New Roman" w:hAnsi="Times New Roman"/>
                <w:sz w:val="24"/>
                <w:szCs w:val="24"/>
                <w:lang w:val="mk-MK"/>
              </w:rPr>
            </w:pPr>
            <w:r w:rsidRPr="007C24D5">
              <w:rPr>
                <w:rFonts w:ascii="Times New Roman" w:hAnsi="Times New Roman"/>
                <w:sz w:val="24"/>
                <w:szCs w:val="24"/>
                <w:lang w:val="mk-MK"/>
              </w:rPr>
              <w:t>1</w:t>
            </w:r>
            <w:r w:rsidR="00B50305" w:rsidRPr="007C24D5">
              <w:rPr>
                <w:rFonts w:ascii="Times New Roman" w:hAnsi="Times New Roman"/>
                <w:sz w:val="24"/>
                <w:szCs w:val="24"/>
                <w:lang w:val="mk-MK"/>
              </w:rPr>
              <w:t>0</w:t>
            </w:r>
            <w:r w:rsidRPr="007C24D5">
              <w:rPr>
                <w:rFonts w:ascii="Times New Roman" w:hAnsi="Times New Roman"/>
                <w:sz w:val="24"/>
                <w:szCs w:val="24"/>
                <w:lang w:val="mk-MK"/>
              </w:rPr>
              <w:t>0.000,00</w:t>
            </w:r>
          </w:p>
        </w:tc>
      </w:tr>
      <w:tr w:rsidR="007C24D5" w:rsidRPr="007C24D5" w:rsidTr="004F64C3">
        <w:tc>
          <w:tcPr>
            <w:tcW w:w="4410" w:type="dxa"/>
            <w:tcBorders>
              <w:top w:val="single" w:sz="18" w:space="0" w:color="auto"/>
              <w:left w:val="single" w:sz="18" w:space="0" w:color="auto"/>
              <w:bottom w:val="single" w:sz="4" w:space="0" w:color="auto"/>
              <w:right w:val="single" w:sz="4" w:space="0" w:color="auto"/>
            </w:tcBorders>
            <w:shd w:val="clear" w:color="auto" w:fill="D6E3BC"/>
          </w:tcPr>
          <w:p w:rsidR="009E134D" w:rsidRPr="007C24D5" w:rsidRDefault="00AB3ED0" w:rsidP="005112BF">
            <w:pPr>
              <w:jc w:val="both"/>
              <w:rPr>
                <w:rFonts w:ascii="Times New Roman" w:hAnsi="Times New Roman"/>
                <w:sz w:val="24"/>
                <w:szCs w:val="24"/>
                <w:lang w:val="mk-MK"/>
              </w:rPr>
            </w:pPr>
            <w:r w:rsidRPr="007C24D5">
              <w:rPr>
                <w:rFonts w:ascii="Times New Roman" w:hAnsi="Times New Roman"/>
                <w:sz w:val="24"/>
                <w:szCs w:val="24"/>
                <w:lang w:val="mk-MK"/>
              </w:rPr>
              <w:t>3</w:t>
            </w:r>
            <w:r w:rsidR="00D1686C" w:rsidRPr="007C24D5">
              <w:rPr>
                <w:rFonts w:ascii="Times New Roman" w:hAnsi="Times New Roman"/>
                <w:sz w:val="24"/>
                <w:szCs w:val="24"/>
                <w:lang w:val="mk-MK"/>
              </w:rPr>
              <w:t xml:space="preserve">. </w:t>
            </w:r>
            <w:r w:rsidR="009E134D" w:rsidRPr="007C24D5">
              <w:rPr>
                <w:rFonts w:ascii="Times New Roman" w:hAnsi="Times New Roman"/>
                <w:sz w:val="24"/>
                <w:szCs w:val="24"/>
                <w:lang w:val="mk-MK"/>
              </w:rPr>
              <w:t>И</w:t>
            </w:r>
            <w:r w:rsidR="00D1686C" w:rsidRPr="007C24D5">
              <w:rPr>
                <w:rFonts w:ascii="Times New Roman" w:hAnsi="Times New Roman"/>
                <w:sz w:val="24"/>
                <w:szCs w:val="24"/>
                <w:lang w:val="mk-MK"/>
              </w:rPr>
              <w:t>з</w:t>
            </w:r>
            <w:r w:rsidR="009E134D" w:rsidRPr="007C24D5">
              <w:rPr>
                <w:rFonts w:ascii="Times New Roman" w:hAnsi="Times New Roman"/>
                <w:sz w:val="24"/>
                <w:szCs w:val="24"/>
                <w:lang w:val="mk-MK"/>
              </w:rPr>
              <w:t>готвување</w:t>
            </w:r>
            <w:r w:rsidR="00D1686C" w:rsidRPr="007C24D5">
              <w:rPr>
                <w:rFonts w:ascii="Times New Roman" w:hAnsi="Times New Roman"/>
                <w:sz w:val="24"/>
                <w:szCs w:val="24"/>
                <w:lang w:val="mk-MK"/>
              </w:rPr>
              <w:t xml:space="preserve"> на </w:t>
            </w:r>
            <w:r w:rsidR="009E134D" w:rsidRPr="007C24D5">
              <w:rPr>
                <w:rFonts w:ascii="Times New Roman" w:hAnsi="Times New Roman"/>
                <w:sz w:val="24"/>
                <w:szCs w:val="24"/>
                <w:lang w:val="mk-MK"/>
              </w:rPr>
              <w:t xml:space="preserve">Проектна Програма  </w:t>
            </w:r>
          </w:p>
          <w:p w:rsidR="009E134D" w:rsidRPr="007C24D5" w:rsidRDefault="009E134D" w:rsidP="009E134D">
            <w:pPr>
              <w:jc w:val="both"/>
              <w:rPr>
                <w:rFonts w:ascii="Times New Roman" w:hAnsi="Times New Roman"/>
                <w:sz w:val="24"/>
                <w:szCs w:val="24"/>
                <w:lang w:val="mk-MK"/>
              </w:rPr>
            </w:pPr>
            <w:r w:rsidRPr="007C24D5">
              <w:rPr>
                <w:rFonts w:ascii="Times New Roman" w:hAnsi="Times New Roman"/>
                <w:sz w:val="24"/>
                <w:szCs w:val="24"/>
                <w:lang w:val="mk-MK"/>
              </w:rPr>
              <w:t xml:space="preserve">   </w:t>
            </w:r>
            <w:r w:rsidR="00D1686C" w:rsidRPr="007C24D5">
              <w:rPr>
                <w:rFonts w:ascii="Times New Roman" w:hAnsi="Times New Roman"/>
                <w:sz w:val="24"/>
                <w:szCs w:val="24"/>
                <w:lang w:val="mk-MK"/>
              </w:rPr>
              <w:t xml:space="preserve">за изработка на </w:t>
            </w:r>
            <w:r w:rsidRPr="007C24D5">
              <w:rPr>
                <w:rFonts w:ascii="Times New Roman" w:hAnsi="Times New Roman"/>
                <w:sz w:val="24"/>
                <w:szCs w:val="24"/>
                <w:lang w:val="mk-MK"/>
              </w:rPr>
              <w:t xml:space="preserve">основен проект за  </w:t>
            </w:r>
          </w:p>
          <w:p w:rsidR="00D1686C" w:rsidRPr="007C24D5" w:rsidRDefault="009E134D" w:rsidP="00F6313A">
            <w:pPr>
              <w:jc w:val="both"/>
              <w:rPr>
                <w:rFonts w:ascii="Times New Roman" w:hAnsi="Times New Roman"/>
                <w:sz w:val="24"/>
                <w:szCs w:val="24"/>
                <w:lang w:val="mk-MK"/>
              </w:rPr>
            </w:pPr>
            <w:r w:rsidRPr="007C24D5">
              <w:rPr>
                <w:rFonts w:ascii="Times New Roman" w:hAnsi="Times New Roman"/>
                <w:sz w:val="24"/>
                <w:szCs w:val="24"/>
                <w:lang w:val="mk-MK"/>
              </w:rPr>
              <w:t xml:space="preserve">   </w:t>
            </w:r>
            <w:r w:rsidR="00D1686C" w:rsidRPr="007C24D5">
              <w:rPr>
                <w:rFonts w:ascii="Times New Roman" w:hAnsi="Times New Roman"/>
                <w:sz w:val="24"/>
                <w:szCs w:val="24"/>
                <w:lang w:val="mk-MK"/>
              </w:rPr>
              <w:t>станица на гас</w:t>
            </w:r>
            <w:r w:rsidR="00AA257F" w:rsidRPr="007C24D5">
              <w:rPr>
                <w:rFonts w:ascii="Times New Roman" w:hAnsi="Times New Roman"/>
                <w:sz w:val="24"/>
                <w:szCs w:val="24"/>
                <w:lang w:val="mk-MK"/>
              </w:rPr>
              <w:t xml:space="preserve"> </w:t>
            </w:r>
            <w:r w:rsidR="00F6313A" w:rsidRPr="007C24D5">
              <w:rPr>
                <w:rFonts w:ascii="Times New Roman" w:hAnsi="Times New Roman"/>
                <w:sz w:val="24"/>
                <w:szCs w:val="24"/>
                <w:lang w:val="mk-MK"/>
              </w:rPr>
              <w:t xml:space="preserve"> </w:t>
            </w:r>
          </w:p>
        </w:tc>
        <w:tc>
          <w:tcPr>
            <w:tcW w:w="2160" w:type="dxa"/>
            <w:tcBorders>
              <w:top w:val="single" w:sz="18" w:space="0" w:color="auto"/>
              <w:left w:val="single" w:sz="4" w:space="0" w:color="auto"/>
              <w:bottom w:val="single" w:sz="4" w:space="0" w:color="auto"/>
              <w:right w:val="single" w:sz="4" w:space="0" w:color="auto"/>
            </w:tcBorders>
          </w:tcPr>
          <w:p w:rsidR="00D1686C" w:rsidRPr="007C24D5" w:rsidRDefault="00D1686C" w:rsidP="005112BF">
            <w:pPr>
              <w:jc w:val="both"/>
              <w:rPr>
                <w:rFonts w:ascii="Times New Roman" w:hAnsi="Times New Roman"/>
                <w:sz w:val="24"/>
                <w:szCs w:val="24"/>
                <w:lang w:val="mk-MK"/>
              </w:rPr>
            </w:pPr>
          </w:p>
        </w:tc>
        <w:tc>
          <w:tcPr>
            <w:tcW w:w="2160" w:type="dxa"/>
            <w:tcBorders>
              <w:top w:val="single" w:sz="18" w:space="0" w:color="auto"/>
              <w:left w:val="single" w:sz="4" w:space="0" w:color="auto"/>
              <w:bottom w:val="single" w:sz="4" w:space="0" w:color="auto"/>
              <w:right w:val="single" w:sz="18" w:space="0" w:color="auto"/>
            </w:tcBorders>
            <w:hideMark/>
          </w:tcPr>
          <w:p w:rsidR="00D1686C" w:rsidRPr="007C24D5" w:rsidRDefault="00D1686C" w:rsidP="00B75490">
            <w:pPr>
              <w:jc w:val="right"/>
              <w:rPr>
                <w:rFonts w:ascii="Times New Roman" w:hAnsi="Times New Roman"/>
                <w:sz w:val="24"/>
                <w:szCs w:val="24"/>
                <w:lang w:val="mk-MK"/>
              </w:rPr>
            </w:pPr>
          </w:p>
          <w:p w:rsidR="00D1686C" w:rsidRPr="007C24D5" w:rsidRDefault="00D1686C" w:rsidP="000B50C8">
            <w:pPr>
              <w:jc w:val="right"/>
              <w:rPr>
                <w:rFonts w:ascii="Times New Roman" w:hAnsi="Times New Roman"/>
                <w:sz w:val="24"/>
                <w:szCs w:val="24"/>
                <w:lang w:val="mk-MK"/>
              </w:rPr>
            </w:pPr>
            <w:r w:rsidRPr="007C24D5">
              <w:rPr>
                <w:rFonts w:ascii="Times New Roman" w:hAnsi="Times New Roman"/>
                <w:sz w:val="24"/>
                <w:szCs w:val="24"/>
                <w:lang w:val="mk-MK"/>
              </w:rPr>
              <w:t xml:space="preserve">   </w:t>
            </w:r>
            <w:r w:rsidR="00B50305" w:rsidRPr="007C24D5">
              <w:rPr>
                <w:rFonts w:ascii="Times New Roman" w:hAnsi="Times New Roman"/>
                <w:sz w:val="24"/>
                <w:szCs w:val="24"/>
                <w:lang w:val="mk-MK"/>
              </w:rPr>
              <w:t>1</w:t>
            </w:r>
            <w:r w:rsidR="000B50C8" w:rsidRPr="007C24D5">
              <w:rPr>
                <w:rFonts w:ascii="Times New Roman" w:hAnsi="Times New Roman"/>
                <w:sz w:val="24"/>
                <w:szCs w:val="24"/>
                <w:lang w:val="mk-MK"/>
              </w:rPr>
              <w:t>3</w:t>
            </w:r>
            <w:r w:rsidR="00AB3ED0" w:rsidRPr="007C24D5">
              <w:rPr>
                <w:rFonts w:ascii="Times New Roman" w:hAnsi="Times New Roman"/>
                <w:sz w:val="24"/>
                <w:szCs w:val="24"/>
                <w:lang w:val="mk-MK"/>
              </w:rPr>
              <w:t>0</w:t>
            </w:r>
            <w:r w:rsidRPr="007C24D5">
              <w:rPr>
                <w:rFonts w:ascii="Times New Roman" w:hAnsi="Times New Roman"/>
                <w:sz w:val="24"/>
                <w:szCs w:val="24"/>
                <w:lang w:val="mk-MK"/>
              </w:rPr>
              <w:t>.000,00</w:t>
            </w:r>
          </w:p>
        </w:tc>
      </w:tr>
      <w:tr w:rsidR="007C24D5" w:rsidRPr="007C24D5" w:rsidTr="004F64C3">
        <w:tc>
          <w:tcPr>
            <w:tcW w:w="4410" w:type="dxa"/>
            <w:tcBorders>
              <w:top w:val="single" w:sz="18" w:space="0" w:color="auto"/>
              <w:left w:val="single" w:sz="18" w:space="0" w:color="auto"/>
              <w:bottom w:val="single" w:sz="4" w:space="0" w:color="auto"/>
              <w:right w:val="single" w:sz="4" w:space="0" w:color="auto"/>
            </w:tcBorders>
            <w:shd w:val="clear" w:color="auto" w:fill="D6E3BC"/>
          </w:tcPr>
          <w:p w:rsidR="00AB3ED0" w:rsidRPr="007C24D5" w:rsidRDefault="00B50305" w:rsidP="00AB3ED0">
            <w:pPr>
              <w:jc w:val="both"/>
              <w:rPr>
                <w:rFonts w:ascii="Times New Roman" w:hAnsi="Times New Roman"/>
                <w:sz w:val="24"/>
                <w:szCs w:val="24"/>
                <w:lang w:val="mk-MK"/>
              </w:rPr>
            </w:pPr>
            <w:r w:rsidRPr="007C24D5">
              <w:rPr>
                <w:rFonts w:ascii="Times New Roman" w:hAnsi="Times New Roman"/>
                <w:sz w:val="24"/>
                <w:szCs w:val="24"/>
                <w:lang w:val="mk-MK"/>
              </w:rPr>
              <w:t>4</w:t>
            </w:r>
            <w:r w:rsidR="00D67FD0" w:rsidRPr="007C24D5">
              <w:rPr>
                <w:rFonts w:ascii="Times New Roman" w:hAnsi="Times New Roman"/>
                <w:sz w:val="24"/>
                <w:szCs w:val="24"/>
                <w:lang w:val="mk-MK"/>
              </w:rPr>
              <w:t>.</w:t>
            </w:r>
            <w:r w:rsidR="00AB3ED0" w:rsidRPr="007C24D5">
              <w:rPr>
                <w:rFonts w:ascii="Times New Roman" w:hAnsi="Times New Roman"/>
                <w:sz w:val="24"/>
                <w:szCs w:val="24"/>
                <w:lang w:val="mk-MK"/>
              </w:rPr>
              <w:t xml:space="preserve"> </w:t>
            </w:r>
            <w:r w:rsidR="009E134D" w:rsidRPr="007C24D5">
              <w:rPr>
                <w:rFonts w:ascii="Times New Roman" w:hAnsi="Times New Roman"/>
                <w:sz w:val="24"/>
                <w:szCs w:val="24"/>
                <w:lang w:val="mk-MK"/>
              </w:rPr>
              <w:t>Г</w:t>
            </w:r>
            <w:r w:rsidR="00AB3ED0" w:rsidRPr="007C24D5">
              <w:rPr>
                <w:rFonts w:ascii="Times New Roman" w:hAnsi="Times New Roman"/>
                <w:sz w:val="24"/>
                <w:szCs w:val="24"/>
                <w:lang w:val="mk-MK"/>
              </w:rPr>
              <w:t xml:space="preserve">одишно одржување на три фото  </w:t>
            </w:r>
          </w:p>
          <w:p w:rsidR="00AB3ED0" w:rsidRPr="007C24D5" w:rsidRDefault="00AB3ED0" w:rsidP="00AB3ED0">
            <w:pPr>
              <w:jc w:val="both"/>
              <w:rPr>
                <w:rFonts w:ascii="Times New Roman" w:hAnsi="Times New Roman"/>
                <w:sz w:val="24"/>
                <w:szCs w:val="24"/>
                <w:lang w:val="mk-MK"/>
              </w:rPr>
            </w:pPr>
            <w:r w:rsidRPr="007C24D5">
              <w:rPr>
                <w:rFonts w:ascii="Times New Roman" w:hAnsi="Times New Roman"/>
                <w:sz w:val="24"/>
                <w:szCs w:val="24"/>
                <w:lang w:val="mk-MK"/>
              </w:rPr>
              <w:t xml:space="preserve">    напонски станици: Општина зграда,  </w:t>
            </w:r>
          </w:p>
          <w:p w:rsidR="00AB3ED0" w:rsidRPr="007C24D5" w:rsidRDefault="00AB3ED0" w:rsidP="00F6313A">
            <w:pPr>
              <w:jc w:val="both"/>
              <w:rPr>
                <w:rFonts w:ascii="Times New Roman" w:hAnsi="Times New Roman"/>
                <w:sz w:val="24"/>
                <w:szCs w:val="24"/>
                <w:lang w:val="mk-MK"/>
              </w:rPr>
            </w:pPr>
            <w:r w:rsidRPr="007C24D5">
              <w:rPr>
                <w:rFonts w:ascii="Times New Roman" w:hAnsi="Times New Roman"/>
                <w:sz w:val="24"/>
                <w:szCs w:val="24"/>
                <w:lang w:val="mk-MK"/>
              </w:rPr>
              <w:t xml:space="preserve">    ОУ во с. Пештани и ОУ с. Велгошти</w:t>
            </w:r>
            <w:r w:rsidR="00AA257F" w:rsidRPr="007C24D5">
              <w:rPr>
                <w:rFonts w:ascii="Times New Roman" w:hAnsi="Times New Roman"/>
                <w:sz w:val="24"/>
                <w:szCs w:val="24"/>
                <w:lang w:val="mk-MK"/>
              </w:rPr>
              <w:t xml:space="preserve">  </w:t>
            </w:r>
            <w:r w:rsidR="00F6313A" w:rsidRPr="007C24D5">
              <w:rPr>
                <w:rFonts w:ascii="Times New Roman" w:hAnsi="Times New Roman"/>
                <w:sz w:val="24"/>
                <w:szCs w:val="24"/>
                <w:lang w:val="mk-MK"/>
              </w:rPr>
              <w:t xml:space="preserve"> </w:t>
            </w:r>
          </w:p>
        </w:tc>
        <w:tc>
          <w:tcPr>
            <w:tcW w:w="2160" w:type="dxa"/>
            <w:tcBorders>
              <w:top w:val="single" w:sz="18" w:space="0" w:color="auto"/>
              <w:left w:val="single" w:sz="4" w:space="0" w:color="auto"/>
              <w:bottom w:val="single" w:sz="4" w:space="0" w:color="auto"/>
              <w:right w:val="single" w:sz="4" w:space="0" w:color="auto"/>
            </w:tcBorders>
          </w:tcPr>
          <w:p w:rsidR="00AB3ED0" w:rsidRPr="007C24D5" w:rsidRDefault="00AB3ED0" w:rsidP="005112BF">
            <w:pPr>
              <w:jc w:val="both"/>
              <w:rPr>
                <w:rFonts w:ascii="Times New Roman" w:hAnsi="Times New Roman"/>
                <w:sz w:val="24"/>
                <w:szCs w:val="24"/>
                <w:lang w:val="mk-MK"/>
              </w:rPr>
            </w:pPr>
          </w:p>
        </w:tc>
        <w:tc>
          <w:tcPr>
            <w:tcW w:w="2160" w:type="dxa"/>
            <w:tcBorders>
              <w:top w:val="single" w:sz="18" w:space="0" w:color="auto"/>
              <w:left w:val="single" w:sz="4" w:space="0" w:color="auto"/>
              <w:bottom w:val="single" w:sz="4" w:space="0" w:color="auto"/>
              <w:right w:val="single" w:sz="18" w:space="0" w:color="auto"/>
            </w:tcBorders>
            <w:hideMark/>
          </w:tcPr>
          <w:p w:rsidR="00AB3ED0" w:rsidRPr="007C24D5" w:rsidRDefault="00AB3ED0" w:rsidP="00B75490">
            <w:pPr>
              <w:jc w:val="right"/>
              <w:rPr>
                <w:rFonts w:ascii="Times New Roman" w:hAnsi="Times New Roman"/>
                <w:sz w:val="24"/>
                <w:szCs w:val="24"/>
                <w:lang w:val="mk-MK"/>
              </w:rPr>
            </w:pPr>
          </w:p>
          <w:p w:rsidR="007526CA" w:rsidRPr="007C24D5" w:rsidRDefault="007526CA" w:rsidP="00B75490">
            <w:pPr>
              <w:jc w:val="right"/>
              <w:rPr>
                <w:rFonts w:ascii="Times New Roman" w:hAnsi="Times New Roman"/>
                <w:sz w:val="24"/>
                <w:szCs w:val="24"/>
                <w:lang w:val="mk-MK"/>
              </w:rPr>
            </w:pPr>
          </w:p>
          <w:p w:rsidR="007526CA" w:rsidRPr="007C24D5" w:rsidRDefault="00B50305" w:rsidP="00B50305">
            <w:pPr>
              <w:jc w:val="right"/>
              <w:rPr>
                <w:rFonts w:ascii="Times New Roman" w:hAnsi="Times New Roman"/>
                <w:sz w:val="24"/>
                <w:szCs w:val="24"/>
                <w:lang w:val="mk-MK"/>
              </w:rPr>
            </w:pPr>
            <w:r w:rsidRPr="007C24D5">
              <w:rPr>
                <w:rFonts w:ascii="Times New Roman" w:hAnsi="Times New Roman"/>
                <w:sz w:val="24"/>
                <w:szCs w:val="24"/>
                <w:lang w:val="mk-MK"/>
              </w:rPr>
              <w:t>15</w:t>
            </w:r>
            <w:r w:rsidR="007526CA" w:rsidRPr="007C24D5">
              <w:rPr>
                <w:rFonts w:ascii="Times New Roman" w:hAnsi="Times New Roman"/>
                <w:sz w:val="24"/>
                <w:szCs w:val="24"/>
                <w:lang w:val="mk-MK"/>
              </w:rPr>
              <w:t>0.000,00</w:t>
            </w:r>
          </w:p>
        </w:tc>
      </w:tr>
      <w:tr w:rsidR="007C24D5" w:rsidRPr="007C24D5" w:rsidTr="004F64C3">
        <w:tc>
          <w:tcPr>
            <w:tcW w:w="4410" w:type="dxa"/>
            <w:tcBorders>
              <w:top w:val="single" w:sz="4" w:space="0" w:color="auto"/>
              <w:left w:val="single" w:sz="18" w:space="0" w:color="auto"/>
              <w:bottom w:val="single" w:sz="4" w:space="0" w:color="auto"/>
              <w:right w:val="single" w:sz="4" w:space="0" w:color="auto"/>
            </w:tcBorders>
            <w:shd w:val="clear" w:color="auto" w:fill="D6E3BC"/>
            <w:hideMark/>
          </w:tcPr>
          <w:p w:rsidR="00D1686C" w:rsidRPr="007C24D5" w:rsidRDefault="00D1686C" w:rsidP="005112BF">
            <w:pPr>
              <w:ind w:left="-90" w:right="-108"/>
              <w:rPr>
                <w:rFonts w:ascii="Times New Roman" w:hAnsi="Times New Roman"/>
                <w:b/>
                <w:sz w:val="24"/>
                <w:szCs w:val="24"/>
                <w:lang w:val="mk-MK"/>
              </w:rPr>
            </w:pPr>
          </w:p>
        </w:tc>
        <w:tc>
          <w:tcPr>
            <w:tcW w:w="2160" w:type="dxa"/>
            <w:tcBorders>
              <w:top w:val="single" w:sz="4" w:space="0" w:color="auto"/>
              <w:left w:val="single" w:sz="4" w:space="0" w:color="auto"/>
              <w:bottom w:val="single" w:sz="4" w:space="0" w:color="auto"/>
              <w:right w:val="single" w:sz="4" w:space="0" w:color="auto"/>
            </w:tcBorders>
            <w:hideMark/>
          </w:tcPr>
          <w:p w:rsidR="00D1686C" w:rsidRPr="007C24D5" w:rsidRDefault="00D1686C" w:rsidP="005112BF">
            <w:pPr>
              <w:jc w:val="both"/>
              <w:rPr>
                <w:rFonts w:ascii="Times New Roman" w:hAnsi="Times New Roman"/>
                <w:sz w:val="24"/>
                <w:szCs w:val="24"/>
                <w:lang w:val="mk-MK"/>
              </w:rPr>
            </w:pPr>
          </w:p>
        </w:tc>
        <w:tc>
          <w:tcPr>
            <w:tcW w:w="2160" w:type="dxa"/>
            <w:tcBorders>
              <w:top w:val="single" w:sz="4" w:space="0" w:color="auto"/>
              <w:left w:val="single" w:sz="4" w:space="0" w:color="auto"/>
              <w:bottom w:val="single" w:sz="4" w:space="0" w:color="auto"/>
              <w:right w:val="single" w:sz="18" w:space="0" w:color="auto"/>
            </w:tcBorders>
            <w:hideMark/>
          </w:tcPr>
          <w:p w:rsidR="00D1686C" w:rsidRPr="007C24D5" w:rsidRDefault="00D1686C" w:rsidP="005112BF">
            <w:pPr>
              <w:jc w:val="right"/>
              <w:rPr>
                <w:rFonts w:ascii="Times New Roman" w:hAnsi="Times New Roman"/>
                <w:sz w:val="24"/>
                <w:szCs w:val="24"/>
                <w:lang w:val="mk-MK"/>
              </w:rPr>
            </w:pPr>
          </w:p>
        </w:tc>
      </w:tr>
      <w:tr w:rsidR="007C24D5" w:rsidRPr="007C24D5" w:rsidTr="00351836">
        <w:tc>
          <w:tcPr>
            <w:tcW w:w="4410" w:type="dxa"/>
            <w:tcBorders>
              <w:top w:val="single" w:sz="18" w:space="0" w:color="auto"/>
              <w:left w:val="single" w:sz="18" w:space="0" w:color="auto"/>
              <w:bottom w:val="single" w:sz="18" w:space="0" w:color="auto"/>
              <w:right w:val="single" w:sz="4" w:space="0" w:color="auto"/>
            </w:tcBorders>
            <w:shd w:val="clear" w:color="auto" w:fill="76923C"/>
            <w:vAlign w:val="center"/>
            <w:hideMark/>
          </w:tcPr>
          <w:p w:rsidR="00351836" w:rsidRPr="007C24D5" w:rsidRDefault="00351836" w:rsidP="00351836">
            <w:pPr>
              <w:rPr>
                <w:rFonts w:ascii="Times New Roman" w:hAnsi="Times New Roman"/>
                <w:b/>
                <w:sz w:val="24"/>
                <w:szCs w:val="24"/>
                <w:lang w:val="mk-MK"/>
              </w:rPr>
            </w:pPr>
          </w:p>
          <w:p w:rsidR="00D1686C" w:rsidRPr="007C24D5" w:rsidRDefault="00D1686C" w:rsidP="00351836">
            <w:pPr>
              <w:rPr>
                <w:rFonts w:ascii="Times New Roman" w:hAnsi="Times New Roman"/>
                <w:b/>
                <w:sz w:val="24"/>
                <w:szCs w:val="24"/>
                <w:lang w:val="mk-MK"/>
              </w:rPr>
            </w:pPr>
            <w:r w:rsidRPr="007C24D5">
              <w:rPr>
                <w:rFonts w:ascii="Times New Roman" w:hAnsi="Times New Roman"/>
                <w:b/>
                <w:sz w:val="24"/>
                <w:szCs w:val="24"/>
                <w:lang w:val="mk-MK"/>
              </w:rPr>
              <w:t>Вкупно</w:t>
            </w:r>
            <w:r w:rsidRPr="007C24D5">
              <w:rPr>
                <w:rFonts w:ascii="Times New Roman" w:hAnsi="Times New Roman"/>
                <w:b/>
                <w:sz w:val="24"/>
                <w:szCs w:val="24"/>
              </w:rPr>
              <w:t>:</w:t>
            </w:r>
          </w:p>
        </w:tc>
        <w:tc>
          <w:tcPr>
            <w:tcW w:w="2160" w:type="dxa"/>
            <w:tcBorders>
              <w:top w:val="single" w:sz="18" w:space="0" w:color="auto"/>
              <w:left w:val="single" w:sz="4" w:space="0" w:color="auto"/>
              <w:bottom w:val="single" w:sz="18" w:space="0" w:color="auto"/>
              <w:right w:val="single" w:sz="4" w:space="0" w:color="auto"/>
            </w:tcBorders>
            <w:shd w:val="clear" w:color="auto" w:fill="76923C"/>
          </w:tcPr>
          <w:p w:rsidR="00D1686C" w:rsidRPr="007C24D5" w:rsidRDefault="00D1686C" w:rsidP="005112BF">
            <w:pPr>
              <w:jc w:val="both"/>
              <w:rPr>
                <w:rFonts w:ascii="Times New Roman" w:hAnsi="Times New Roman"/>
                <w:sz w:val="24"/>
                <w:szCs w:val="24"/>
                <w:lang w:val="mk-MK"/>
              </w:rPr>
            </w:pPr>
          </w:p>
        </w:tc>
        <w:tc>
          <w:tcPr>
            <w:tcW w:w="2160" w:type="dxa"/>
            <w:tcBorders>
              <w:top w:val="single" w:sz="18" w:space="0" w:color="auto"/>
              <w:left w:val="single" w:sz="4" w:space="0" w:color="auto"/>
              <w:bottom w:val="single" w:sz="18" w:space="0" w:color="auto"/>
              <w:right w:val="single" w:sz="18" w:space="0" w:color="auto"/>
            </w:tcBorders>
            <w:shd w:val="clear" w:color="auto" w:fill="76923C"/>
            <w:hideMark/>
          </w:tcPr>
          <w:p w:rsidR="00351836" w:rsidRPr="007C24D5" w:rsidRDefault="00351836" w:rsidP="005112BF">
            <w:pPr>
              <w:jc w:val="right"/>
              <w:rPr>
                <w:rFonts w:ascii="Times New Roman" w:hAnsi="Times New Roman"/>
                <w:sz w:val="24"/>
                <w:szCs w:val="24"/>
                <w:lang w:val="mk-MK"/>
              </w:rPr>
            </w:pPr>
          </w:p>
          <w:p w:rsidR="00D1686C" w:rsidRPr="007C24D5" w:rsidRDefault="009E134D" w:rsidP="005112BF">
            <w:pPr>
              <w:jc w:val="right"/>
              <w:rPr>
                <w:rFonts w:ascii="Times New Roman" w:hAnsi="Times New Roman"/>
                <w:sz w:val="24"/>
                <w:szCs w:val="24"/>
                <w:lang w:val="mk-MK"/>
              </w:rPr>
            </w:pPr>
            <w:r w:rsidRPr="007C24D5">
              <w:rPr>
                <w:rFonts w:ascii="Times New Roman" w:hAnsi="Times New Roman"/>
                <w:sz w:val="24"/>
                <w:szCs w:val="24"/>
                <w:lang w:val="mk-MK"/>
              </w:rPr>
              <w:t xml:space="preserve">  </w:t>
            </w:r>
            <w:r w:rsidR="00B50305" w:rsidRPr="007C24D5">
              <w:rPr>
                <w:rFonts w:ascii="Times New Roman" w:hAnsi="Times New Roman"/>
                <w:sz w:val="24"/>
                <w:szCs w:val="24"/>
                <w:lang w:val="mk-MK"/>
              </w:rPr>
              <w:t>9</w:t>
            </w:r>
            <w:r w:rsidR="00D1686C" w:rsidRPr="007C24D5">
              <w:rPr>
                <w:rFonts w:ascii="Times New Roman" w:hAnsi="Times New Roman"/>
                <w:sz w:val="24"/>
                <w:szCs w:val="24"/>
                <w:lang w:val="mk-MK"/>
              </w:rPr>
              <w:t>00.000,00</w:t>
            </w:r>
          </w:p>
        </w:tc>
      </w:tr>
    </w:tbl>
    <w:p w:rsidR="00FB6030" w:rsidRPr="007C24D5" w:rsidRDefault="000E36A1" w:rsidP="00C26392">
      <w:pPr>
        <w:rPr>
          <w:rFonts w:ascii="Times New Roman" w:hAnsi="Times New Roman"/>
          <w:sz w:val="10"/>
          <w:szCs w:val="10"/>
          <w:lang w:val="en-US"/>
        </w:rPr>
      </w:pPr>
      <w:r w:rsidRPr="007C24D5">
        <w:rPr>
          <w:lang w:val="mk-MK"/>
        </w:rPr>
        <w:tab/>
      </w:r>
    </w:p>
    <w:p w:rsidR="00351836" w:rsidRPr="007C24D5" w:rsidRDefault="00160432" w:rsidP="00C26392">
      <w:pPr>
        <w:rPr>
          <w:rFonts w:ascii="Times New Roman" w:hAnsi="Times New Roman"/>
          <w:sz w:val="24"/>
          <w:szCs w:val="24"/>
          <w:lang w:val="mk-MK"/>
        </w:rPr>
      </w:pPr>
      <w:r w:rsidRPr="007C24D5">
        <w:rPr>
          <w:rFonts w:ascii="Times New Roman" w:hAnsi="Times New Roman"/>
          <w:sz w:val="24"/>
          <w:szCs w:val="24"/>
          <w:lang w:val="mk-MK"/>
        </w:rPr>
        <w:tab/>
      </w:r>
    </w:p>
    <w:p w:rsidR="00791199" w:rsidRPr="007C24D5" w:rsidRDefault="00351836" w:rsidP="00C26392">
      <w:pPr>
        <w:rPr>
          <w:rFonts w:ascii="Times New Roman" w:hAnsi="Times New Roman"/>
          <w:sz w:val="24"/>
          <w:szCs w:val="24"/>
          <w:lang w:val="mk-MK"/>
        </w:rPr>
      </w:pPr>
      <w:r w:rsidRPr="007C24D5">
        <w:rPr>
          <w:rFonts w:ascii="Times New Roman" w:hAnsi="Times New Roman"/>
          <w:sz w:val="24"/>
          <w:szCs w:val="24"/>
          <w:lang w:val="mk-MK"/>
        </w:rPr>
        <w:tab/>
        <w:t>В</w:t>
      </w:r>
      <w:r w:rsidR="000E36A1" w:rsidRPr="007C24D5">
        <w:rPr>
          <w:rFonts w:ascii="Times New Roman" w:hAnsi="Times New Roman"/>
          <w:sz w:val="24"/>
          <w:szCs w:val="24"/>
          <w:lang w:val="mk-MK"/>
        </w:rPr>
        <w:t xml:space="preserve">о </w:t>
      </w:r>
      <w:r w:rsidR="00B8199F" w:rsidRPr="007C24D5">
        <w:rPr>
          <w:rFonts w:ascii="Times New Roman" w:hAnsi="Times New Roman"/>
          <w:sz w:val="24"/>
          <w:szCs w:val="24"/>
          <w:lang w:val="mk-MK"/>
        </w:rPr>
        <w:t>изминатиот период</w:t>
      </w:r>
      <w:r w:rsidR="000E36A1" w:rsidRPr="007C24D5">
        <w:rPr>
          <w:rFonts w:ascii="Times New Roman" w:hAnsi="Times New Roman"/>
          <w:sz w:val="24"/>
          <w:szCs w:val="24"/>
          <w:lang w:val="mk-MK"/>
        </w:rPr>
        <w:t xml:space="preserve">, Општина Охрид, по пат на јавна  набавка изработи, преку соодветни проектантски бироа: тригодишната програма </w:t>
      </w:r>
      <w:r w:rsidR="00E83C78" w:rsidRPr="007C24D5">
        <w:rPr>
          <w:rFonts w:ascii="Times New Roman" w:hAnsi="Times New Roman"/>
          <w:sz w:val="24"/>
          <w:szCs w:val="24"/>
          <w:lang w:val="mk-MK"/>
        </w:rPr>
        <w:t xml:space="preserve">(изработена од Центарот за енергетска ефикасност МАЦЕФ - Скопје) </w:t>
      </w:r>
      <w:r w:rsidR="000E36A1" w:rsidRPr="007C24D5">
        <w:rPr>
          <w:rFonts w:ascii="Times New Roman" w:hAnsi="Times New Roman"/>
          <w:sz w:val="24"/>
          <w:szCs w:val="24"/>
          <w:lang w:val="mk-MK"/>
        </w:rPr>
        <w:t xml:space="preserve">за енергетска ефикасност 2024-2026, </w:t>
      </w:r>
      <w:r w:rsidR="00E83C78" w:rsidRPr="007C24D5">
        <w:rPr>
          <w:rFonts w:ascii="Times New Roman" w:hAnsi="Times New Roman"/>
          <w:sz w:val="24"/>
          <w:szCs w:val="24"/>
          <w:lang w:val="mk-MK"/>
        </w:rPr>
        <w:t xml:space="preserve">како и </w:t>
      </w:r>
      <w:r w:rsidR="000E36A1" w:rsidRPr="007C24D5">
        <w:rPr>
          <w:rFonts w:ascii="Times New Roman" w:hAnsi="Times New Roman"/>
          <w:sz w:val="24"/>
          <w:szCs w:val="24"/>
          <w:lang w:val="mk-MK"/>
        </w:rPr>
        <w:t>физибилити студии за поставување на фотоволтаични станици на објектите под ингеренција на општината како и за станица за гас на потегот Гимназија, ОУ Григор Прличев, Градинка, Економско средно уч</w:t>
      </w:r>
      <w:r w:rsidR="00B8199F" w:rsidRPr="007C24D5">
        <w:rPr>
          <w:rFonts w:ascii="Times New Roman" w:hAnsi="Times New Roman"/>
          <w:sz w:val="24"/>
          <w:szCs w:val="24"/>
          <w:lang w:val="mk-MK"/>
        </w:rPr>
        <w:t>илиште</w:t>
      </w:r>
      <w:r w:rsidR="000E36A1" w:rsidRPr="007C24D5">
        <w:rPr>
          <w:rFonts w:ascii="Times New Roman" w:hAnsi="Times New Roman"/>
          <w:sz w:val="24"/>
          <w:szCs w:val="24"/>
          <w:lang w:val="mk-MK"/>
        </w:rPr>
        <w:t xml:space="preserve"> и административна зграда на Општината.</w:t>
      </w:r>
      <w:r w:rsidR="00791199" w:rsidRPr="007C24D5">
        <w:rPr>
          <w:rFonts w:ascii="Times New Roman" w:hAnsi="Times New Roman"/>
          <w:sz w:val="24"/>
          <w:szCs w:val="24"/>
          <w:lang w:val="mk-MK"/>
        </w:rPr>
        <w:t xml:space="preserve"> Следните фази се изработка на </w:t>
      </w:r>
      <w:r w:rsidR="00B8199F" w:rsidRPr="007C24D5">
        <w:rPr>
          <w:rFonts w:ascii="Times New Roman" w:hAnsi="Times New Roman"/>
          <w:sz w:val="24"/>
          <w:szCs w:val="24"/>
          <w:lang w:val="mk-MK"/>
        </w:rPr>
        <w:t>поединечни основни проекти</w:t>
      </w:r>
      <w:r w:rsidR="00791199" w:rsidRPr="007C24D5">
        <w:rPr>
          <w:rFonts w:ascii="Times New Roman" w:hAnsi="Times New Roman"/>
          <w:sz w:val="24"/>
          <w:szCs w:val="24"/>
          <w:lang w:val="mk-MK"/>
        </w:rPr>
        <w:t>, финансиска инвестициона конструкција и секако,</w:t>
      </w:r>
      <w:r w:rsidR="00B8199F" w:rsidRPr="007C24D5">
        <w:rPr>
          <w:rFonts w:ascii="Times New Roman" w:hAnsi="Times New Roman"/>
          <w:sz w:val="24"/>
          <w:szCs w:val="24"/>
          <w:lang w:val="mk-MK"/>
        </w:rPr>
        <w:t xml:space="preserve"> нивна</w:t>
      </w:r>
      <w:r w:rsidR="00791199" w:rsidRPr="007C24D5">
        <w:rPr>
          <w:rFonts w:ascii="Times New Roman" w:hAnsi="Times New Roman"/>
          <w:sz w:val="24"/>
          <w:szCs w:val="24"/>
          <w:lang w:val="mk-MK"/>
        </w:rPr>
        <w:t xml:space="preserve"> реализација.</w:t>
      </w:r>
    </w:p>
    <w:p w:rsidR="00FB6030" w:rsidRPr="007C24D5" w:rsidRDefault="00FB6030" w:rsidP="00E83C78">
      <w:pPr>
        <w:pStyle w:val="Ecotext"/>
        <w:spacing w:before="0" w:after="0"/>
        <w:jc w:val="left"/>
        <w:rPr>
          <w:rFonts w:ascii="Times New Roman" w:hAnsi="Times New Roman"/>
          <w:b/>
          <w:sz w:val="24"/>
          <w:szCs w:val="24"/>
          <w:lang w:val="en-US"/>
        </w:rPr>
      </w:pPr>
    </w:p>
    <w:p w:rsidR="007F25FD" w:rsidRPr="007C24D5" w:rsidRDefault="007F25FD" w:rsidP="00E83C78">
      <w:pPr>
        <w:pStyle w:val="Ecotext"/>
        <w:spacing w:before="0" w:after="0"/>
        <w:jc w:val="left"/>
        <w:rPr>
          <w:rFonts w:ascii="Times New Roman" w:hAnsi="Times New Roman"/>
          <w:b/>
          <w:sz w:val="24"/>
          <w:szCs w:val="24"/>
          <w:lang w:val="en-US"/>
        </w:rPr>
      </w:pPr>
    </w:p>
    <w:p w:rsidR="00D1686C" w:rsidRPr="007C24D5" w:rsidRDefault="00D1686C" w:rsidP="00E83C78">
      <w:pPr>
        <w:pStyle w:val="Ecotext"/>
        <w:spacing w:before="0" w:after="0"/>
        <w:jc w:val="left"/>
        <w:rPr>
          <w:rFonts w:ascii="Times New Roman" w:hAnsi="Times New Roman"/>
          <w:b/>
          <w:sz w:val="24"/>
          <w:szCs w:val="24"/>
          <w:lang w:val="mk-MK"/>
        </w:rPr>
      </w:pPr>
      <w:r w:rsidRPr="007C24D5">
        <w:rPr>
          <w:rFonts w:ascii="Times New Roman" w:hAnsi="Times New Roman"/>
          <w:b/>
          <w:sz w:val="24"/>
          <w:szCs w:val="24"/>
          <w:lang w:val="mk-MK"/>
        </w:rPr>
        <w:t>Учесници и извршители на програмата: Тим за енергетска ефикасност</w:t>
      </w:r>
    </w:p>
    <w:p w:rsidR="007F25FD" w:rsidRPr="007C24D5" w:rsidRDefault="007F25FD" w:rsidP="007F25FD">
      <w:pPr>
        <w:pStyle w:val="Ecotext"/>
        <w:spacing w:after="0"/>
        <w:rPr>
          <w:rFonts w:ascii="Times New Roman" w:hAnsi="Times New Roman"/>
          <w:sz w:val="24"/>
          <w:szCs w:val="24"/>
          <w:lang w:val="mk-MK"/>
        </w:rPr>
      </w:pPr>
      <w:r w:rsidRPr="007C24D5">
        <w:rPr>
          <w:rFonts w:ascii="Times New Roman" w:hAnsi="Times New Roman"/>
          <w:sz w:val="24"/>
          <w:szCs w:val="24"/>
          <w:lang w:val="mk-MK"/>
        </w:rPr>
        <w:tab/>
        <w:t>Општинската програма за енергетска ефикасност (ОПЕЕ) е среднорочен план и документ за политиката што ќе се спроведува во општината. Претставници и експерти од Општина Охрид се вклучени во развојот на ОПЕЕ. Ова овозможува создавање на правилни процедури во организацијата на општината за подоцна истите да бидат користени според предвиденото во Програмата.</w:t>
      </w:r>
    </w:p>
    <w:p w:rsidR="007F25FD" w:rsidRPr="007C24D5" w:rsidRDefault="007F25FD" w:rsidP="007F25FD">
      <w:pPr>
        <w:pStyle w:val="Ecotext"/>
        <w:spacing w:after="0"/>
        <w:rPr>
          <w:rFonts w:ascii="Times New Roman" w:hAnsi="Times New Roman"/>
          <w:sz w:val="24"/>
          <w:szCs w:val="24"/>
          <w:lang w:val="mk-MK"/>
        </w:rPr>
      </w:pPr>
      <w:r w:rsidRPr="007C24D5">
        <w:rPr>
          <w:rFonts w:ascii="Times New Roman" w:hAnsi="Times New Roman"/>
          <w:sz w:val="24"/>
          <w:szCs w:val="24"/>
          <w:lang w:val="mk-MK"/>
        </w:rPr>
        <w:tab/>
        <w:t>За оваа цел, во рамките на организационата структура на општината се предлага да се формира тим за Енергетска Ефикасност (ЕЕ тим) и задачите на членовите ќе бидат дефинирани со правилник за систематизација на работните задачи.</w:t>
      </w:r>
      <w:r w:rsidR="00604C1C" w:rsidRPr="007C24D5">
        <w:rPr>
          <w:rFonts w:ascii="Times New Roman" w:hAnsi="Times New Roman"/>
          <w:sz w:val="24"/>
          <w:szCs w:val="24"/>
          <w:lang w:val="mk-MK"/>
        </w:rPr>
        <w:tab/>
      </w:r>
    </w:p>
    <w:p w:rsidR="001F7B46" w:rsidRPr="007C24D5" w:rsidRDefault="00D1686C" w:rsidP="007F25FD">
      <w:pPr>
        <w:pStyle w:val="Ecotext"/>
        <w:spacing w:after="0"/>
        <w:rPr>
          <w:rFonts w:ascii="Times New Roman" w:hAnsi="Times New Roman"/>
          <w:sz w:val="24"/>
          <w:szCs w:val="24"/>
          <w:lang w:val="mk-MK"/>
        </w:rPr>
      </w:pPr>
      <w:r w:rsidRPr="007C24D5">
        <w:rPr>
          <w:rFonts w:ascii="Times New Roman" w:hAnsi="Times New Roman"/>
          <w:sz w:val="24"/>
          <w:szCs w:val="24"/>
          <w:lang w:val="mk-MK"/>
        </w:rPr>
        <w:t xml:space="preserve">Како дел од стратегијата за енергетска ефикасност, </w:t>
      </w:r>
      <w:r w:rsidR="00B8199F" w:rsidRPr="007C24D5">
        <w:rPr>
          <w:rFonts w:ascii="Times New Roman" w:hAnsi="Times New Roman"/>
          <w:sz w:val="24"/>
          <w:szCs w:val="24"/>
          <w:lang w:val="mk-MK"/>
        </w:rPr>
        <w:t>О</w:t>
      </w:r>
      <w:r w:rsidRPr="007C24D5">
        <w:rPr>
          <w:rFonts w:ascii="Times New Roman" w:hAnsi="Times New Roman"/>
          <w:sz w:val="24"/>
          <w:szCs w:val="24"/>
          <w:lang w:val="mk-MK"/>
        </w:rPr>
        <w:t xml:space="preserve">пштината </w:t>
      </w:r>
      <w:r w:rsidR="00B8199F" w:rsidRPr="007C24D5">
        <w:rPr>
          <w:rFonts w:ascii="Times New Roman" w:hAnsi="Times New Roman"/>
          <w:sz w:val="24"/>
          <w:szCs w:val="24"/>
          <w:lang w:val="mk-MK"/>
        </w:rPr>
        <w:t>има</w:t>
      </w:r>
      <w:r w:rsidRPr="007C24D5">
        <w:rPr>
          <w:rFonts w:ascii="Times New Roman" w:hAnsi="Times New Roman"/>
          <w:sz w:val="24"/>
          <w:szCs w:val="24"/>
          <w:lang w:val="mk-MK"/>
        </w:rPr>
        <w:t xml:space="preserve"> формира</w:t>
      </w:r>
      <w:r w:rsidR="00B8199F" w:rsidRPr="007C24D5">
        <w:rPr>
          <w:rFonts w:ascii="Times New Roman" w:hAnsi="Times New Roman"/>
          <w:sz w:val="24"/>
          <w:szCs w:val="24"/>
          <w:lang w:val="mk-MK"/>
        </w:rPr>
        <w:t>но</w:t>
      </w:r>
      <w:r w:rsidRPr="007C24D5">
        <w:rPr>
          <w:rFonts w:ascii="Times New Roman" w:hAnsi="Times New Roman"/>
          <w:sz w:val="24"/>
          <w:szCs w:val="24"/>
          <w:lang w:val="mk-MK"/>
        </w:rPr>
        <w:t xml:space="preserve"> тим за Енергетска Ефикасност (ЕЕ тим) на локалната администрација. </w:t>
      </w:r>
    </w:p>
    <w:p w:rsidR="00D1686C" w:rsidRPr="007C24D5" w:rsidRDefault="00D1686C" w:rsidP="00D1686C">
      <w:pPr>
        <w:jc w:val="both"/>
        <w:rPr>
          <w:rFonts w:ascii="Times New Roman" w:hAnsi="Times New Roman"/>
          <w:sz w:val="24"/>
          <w:szCs w:val="24"/>
          <w:lang w:val="mk-MK"/>
        </w:rPr>
      </w:pPr>
      <w:r w:rsidRPr="007C24D5">
        <w:rPr>
          <w:rFonts w:ascii="Times New Roman" w:hAnsi="Times New Roman"/>
          <w:sz w:val="24"/>
          <w:szCs w:val="24"/>
          <w:lang w:val="mk-MK"/>
        </w:rPr>
        <w:lastRenderedPageBreak/>
        <w:t xml:space="preserve">Тимот за </w:t>
      </w:r>
      <w:r w:rsidR="00604C1C" w:rsidRPr="007C24D5">
        <w:rPr>
          <w:rFonts w:ascii="Times New Roman" w:hAnsi="Times New Roman"/>
          <w:sz w:val="24"/>
          <w:szCs w:val="24"/>
          <w:lang w:val="mk-MK"/>
        </w:rPr>
        <w:t>ен</w:t>
      </w:r>
      <w:r w:rsidR="007F25FD" w:rsidRPr="007C24D5">
        <w:rPr>
          <w:rFonts w:ascii="Times New Roman" w:hAnsi="Times New Roman"/>
          <w:sz w:val="24"/>
          <w:szCs w:val="24"/>
          <w:lang w:val="mk-MK"/>
        </w:rPr>
        <w:t>ергетска</w:t>
      </w:r>
      <w:r w:rsidR="007F25FD" w:rsidRPr="007C24D5">
        <w:rPr>
          <w:rFonts w:ascii="Times New Roman" w:hAnsi="Times New Roman"/>
          <w:sz w:val="24"/>
          <w:szCs w:val="24"/>
          <w:lang w:val="en-US"/>
        </w:rPr>
        <w:t xml:space="preserve"> </w:t>
      </w:r>
      <w:r w:rsidR="00604C1C" w:rsidRPr="007C24D5">
        <w:rPr>
          <w:rFonts w:ascii="Times New Roman" w:hAnsi="Times New Roman"/>
          <w:sz w:val="24"/>
          <w:szCs w:val="24"/>
          <w:lang w:val="mk-MK"/>
        </w:rPr>
        <w:t>е</w:t>
      </w:r>
      <w:r w:rsidRPr="007C24D5">
        <w:rPr>
          <w:rFonts w:ascii="Times New Roman" w:hAnsi="Times New Roman"/>
          <w:sz w:val="24"/>
          <w:szCs w:val="24"/>
          <w:lang w:val="mk-MK"/>
        </w:rPr>
        <w:t>фикасност е одговорен за работата поврзана со енергетската ефикасност со следните надлежности:</w:t>
      </w:r>
    </w:p>
    <w:p w:rsidR="00351836" w:rsidRPr="007C24D5" w:rsidRDefault="00351836" w:rsidP="00D1686C">
      <w:pPr>
        <w:jc w:val="both"/>
        <w:rPr>
          <w:rFonts w:ascii="Times New Roman" w:hAnsi="Times New Roman"/>
          <w:sz w:val="24"/>
          <w:szCs w:val="24"/>
          <w:lang w:val="mk-MK"/>
        </w:rPr>
      </w:pP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координира и спроведува проекти за енергетска ефикасност во општината</w:t>
      </w:r>
      <w:r w:rsidR="00B8199F" w:rsidRPr="007C24D5">
        <w:rPr>
          <w:rFonts w:ascii="Times New Roman" w:hAnsi="Times New Roman"/>
          <w:sz w:val="24"/>
          <w:szCs w:val="24"/>
          <w:lang w:val="mk-MK"/>
        </w:rPr>
        <w:t>,</w:t>
      </w:r>
      <w:r w:rsidRPr="007C24D5">
        <w:rPr>
          <w:rFonts w:ascii="Times New Roman" w:hAnsi="Times New Roman"/>
          <w:sz w:val="24"/>
          <w:szCs w:val="24"/>
          <w:lang w:val="mk-MK"/>
        </w:rPr>
        <w:t xml:space="preserve"> следи и  доставува извештаи за остварените резултати;</w:t>
      </w:r>
    </w:p>
    <w:p w:rsidR="00D1686C" w:rsidRPr="007C24D5" w:rsidRDefault="00B8199F"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у</w:t>
      </w:r>
      <w:r w:rsidR="00D1686C" w:rsidRPr="007C24D5">
        <w:rPr>
          <w:rFonts w:ascii="Times New Roman" w:hAnsi="Times New Roman"/>
          <w:sz w:val="24"/>
          <w:szCs w:val="24"/>
          <w:lang w:val="mk-MK"/>
        </w:rPr>
        <w:t>чествува во планирање на општинскиот буџет за трошоците за енергија и одржувањето на објектите во надлежност на општината, како и јавното осветление;</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работи и управува со базата на податоци на јавните објекти и</w:t>
      </w:r>
      <w:r w:rsidR="00B8199F" w:rsidRPr="007C24D5">
        <w:rPr>
          <w:rFonts w:ascii="Times New Roman" w:hAnsi="Times New Roman"/>
          <w:sz w:val="24"/>
          <w:szCs w:val="24"/>
          <w:lang w:val="mk-MK"/>
        </w:rPr>
        <w:t xml:space="preserve"> нивно</w:t>
      </w:r>
      <w:r w:rsidRPr="007C24D5">
        <w:rPr>
          <w:rFonts w:ascii="Times New Roman" w:hAnsi="Times New Roman"/>
          <w:sz w:val="24"/>
          <w:szCs w:val="24"/>
          <w:lang w:val="mk-MK"/>
        </w:rPr>
        <w:t xml:space="preserve"> следење;</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иницира и координира активности со владини и невладини организации за спроведување на проекти за енергетска ефикасност како и донаторски организации и фондови коишто подржуваат локален развој;</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помага при подготовка на тендерски документи и соработува со надворешни експерти и консултанти за енергетски прегледи, управување со проекти, итн.</w:t>
      </w:r>
    </w:p>
    <w:p w:rsidR="00D1686C" w:rsidRPr="007C24D5" w:rsidRDefault="00B8199F"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т</w:t>
      </w:r>
      <w:r w:rsidR="00D1686C" w:rsidRPr="007C24D5">
        <w:rPr>
          <w:rFonts w:ascii="Times New Roman" w:hAnsi="Times New Roman"/>
          <w:sz w:val="24"/>
          <w:szCs w:val="24"/>
          <w:lang w:val="mk-MK"/>
        </w:rPr>
        <w:t>имот го предводи раководител на тимот</w:t>
      </w:r>
      <w:r w:rsidR="002D4D21" w:rsidRPr="007C24D5">
        <w:rPr>
          <w:rFonts w:ascii="Times New Roman" w:hAnsi="Times New Roman"/>
          <w:sz w:val="24"/>
          <w:szCs w:val="24"/>
          <w:lang w:val="mk-MK"/>
        </w:rPr>
        <w:t>, а о</w:t>
      </w:r>
      <w:r w:rsidR="00D1686C" w:rsidRPr="007C24D5">
        <w:rPr>
          <w:rFonts w:ascii="Times New Roman" w:hAnsi="Times New Roman"/>
          <w:sz w:val="24"/>
          <w:szCs w:val="24"/>
          <w:lang w:val="mk-MK"/>
        </w:rPr>
        <w:t xml:space="preserve">писот на </w:t>
      </w:r>
      <w:r w:rsidR="002D4D21" w:rsidRPr="007C24D5">
        <w:rPr>
          <w:rFonts w:ascii="Times New Roman" w:hAnsi="Times New Roman"/>
          <w:sz w:val="24"/>
          <w:szCs w:val="24"/>
          <w:lang w:val="mk-MK"/>
        </w:rPr>
        <w:t xml:space="preserve">неговите </w:t>
      </w:r>
      <w:r w:rsidR="00D1686C" w:rsidRPr="007C24D5">
        <w:rPr>
          <w:rFonts w:ascii="Times New Roman" w:hAnsi="Times New Roman"/>
          <w:sz w:val="24"/>
          <w:szCs w:val="24"/>
          <w:lang w:val="mk-MK"/>
        </w:rPr>
        <w:t>работни задачи и на останатите членови</w:t>
      </w:r>
      <w:r w:rsidR="002D4D21" w:rsidRPr="007C24D5">
        <w:rPr>
          <w:rFonts w:ascii="Times New Roman" w:hAnsi="Times New Roman"/>
          <w:sz w:val="24"/>
          <w:szCs w:val="24"/>
          <w:lang w:val="mk-MK"/>
        </w:rPr>
        <w:t>,</w:t>
      </w:r>
      <w:r w:rsidR="00D1686C" w:rsidRPr="007C24D5">
        <w:rPr>
          <w:rFonts w:ascii="Times New Roman" w:hAnsi="Times New Roman"/>
          <w:sz w:val="24"/>
          <w:szCs w:val="24"/>
          <w:lang w:val="mk-MK"/>
        </w:rPr>
        <w:t xml:space="preserve"> се дефинира</w:t>
      </w:r>
      <w:r w:rsidRPr="007C24D5">
        <w:rPr>
          <w:rFonts w:ascii="Times New Roman" w:hAnsi="Times New Roman"/>
          <w:sz w:val="24"/>
          <w:szCs w:val="24"/>
          <w:lang w:val="mk-MK"/>
        </w:rPr>
        <w:t>ни</w:t>
      </w:r>
      <w:r w:rsidR="00D1686C" w:rsidRPr="007C24D5">
        <w:rPr>
          <w:rFonts w:ascii="Times New Roman" w:hAnsi="Times New Roman"/>
          <w:sz w:val="24"/>
          <w:szCs w:val="24"/>
          <w:lang w:val="mk-MK"/>
        </w:rPr>
        <w:t xml:space="preserve"> соодветно </w:t>
      </w:r>
      <w:r w:rsidRPr="007C24D5">
        <w:rPr>
          <w:rFonts w:ascii="Times New Roman" w:hAnsi="Times New Roman"/>
          <w:sz w:val="24"/>
          <w:szCs w:val="24"/>
          <w:lang w:val="mk-MK"/>
        </w:rPr>
        <w:t>и</w:t>
      </w:r>
      <w:r w:rsidR="00D1686C" w:rsidRPr="007C24D5">
        <w:rPr>
          <w:rFonts w:ascii="Times New Roman" w:hAnsi="Times New Roman"/>
          <w:sz w:val="24"/>
          <w:szCs w:val="24"/>
          <w:lang w:val="mk-MK"/>
        </w:rPr>
        <w:t xml:space="preserve"> се ажурираат по  потреба.</w:t>
      </w:r>
    </w:p>
    <w:p w:rsidR="00D1686C" w:rsidRPr="007C24D5" w:rsidRDefault="00D1686C" w:rsidP="00D1686C">
      <w:pPr>
        <w:keepNext w:val="0"/>
        <w:jc w:val="both"/>
        <w:rPr>
          <w:rFonts w:ascii="Times New Roman" w:hAnsi="Times New Roman"/>
          <w:b/>
          <w:i/>
          <w:sz w:val="24"/>
          <w:szCs w:val="24"/>
          <w:lang w:val="mk-MK"/>
        </w:rPr>
      </w:pPr>
    </w:p>
    <w:p w:rsidR="00D1686C" w:rsidRPr="007C24D5" w:rsidRDefault="00604C1C" w:rsidP="00D1686C">
      <w:pPr>
        <w:jc w:val="both"/>
        <w:rPr>
          <w:rFonts w:ascii="Times New Roman" w:hAnsi="Times New Roman"/>
          <w:sz w:val="24"/>
          <w:szCs w:val="24"/>
          <w:lang w:val="mk-MK"/>
        </w:rPr>
      </w:pPr>
      <w:r w:rsidRPr="007C24D5">
        <w:rPr>
          <w:rFonts w:ascii="Times New Roman" w:hAnsi="Times New Roman"/>
          <w:sz w:val="24"/>
          <w:szCs w:val="24"/>
          <w:lang w:val="mk-MK"/>
        </w:rPr>
        <w:tab/>
      </w:r>
      <w:r w:rsidR="00D1686C" w:rsidRPr="007C24D5">
        <w:rPr>
          <w:rFonts w:ascii="Times New Roman" w:hAnsi="Times New Roman"/>
          <w:sz w:val="24"/>
          <w:szCs w:val="24"/>
          <w:lang w:val="mk-MK"/>
        </w:rPr>
        <w:t>Успехот на Програмата е целосно зависен од посветеноста, учеството и ангажираноста на Раководителот на Тимот за Енергетска Ефикасност. Покрај другите, основни задачи на раководителот на тимот за енергетска ефикасност се:</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управува со проекти за развој на ОПЕЕ во општината;</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ги одредува улогите, одговорностите и мандатите на ЕЕ Тимот;</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ја објаснува содржината и да ги распределува задачите во ЕЕ Тимот, а доколку е потребно, да покани и други личности од општината како привремени членови на тимот или да ангажира надворешни советници;</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ја следи и навремено да известува за напредокот на Програмата до Градоначалникот;</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дава извештаи за напредокот и развојот на ОПЕЕ пред советот на Општина Охрид;</w:t>
      </w:r>
    </w:p>
    <w:p w:rsidR="00D1686C" w:rsidRPr="007C24D5" w:rsidRDefault="00D1686C" w:rsidP="00604C1C">
      <w:pPr>
        <w:keepNext w:val="0"/>
        <w:numPr>
          <w:ilvl w:val="0"/>
          <w:numId w:val="1"/>
        </w:numPr>
        <w:tabs>
          <w:tab w:val="clear" w:pos="360"/>
          <w:tab w:val="num" w:pos="450"/>
        </w:tabs>
        <w:ind w:left="450" w:hanging="270"/>
        <w:jc w:val="both"/>
        <w:rPr>
          <w:rFonts w:ascii="Times New Roman" w:hAnsi="Times New Roman"/>
          <w:sz w:val="24"/>
          <w:szCs w:val="24"/>
          <w:lang w:val="mk-MK"/>
        </w:rPr>
      </w:pPr>
      <w:r w:rsidRPr="007C24D5">
        <w:rPr>
          <w:rFonts w:ascii="Times New Roman" w:hAnsi="Times New Roman"/>
          <w:sz w:val="24"/>
          <w:szCs w:val="24"/>
          <w:lang w:val="mk-MK"/>
        </w:rPr>
        <w:t>Да ја следи употребата и надградувањето на базата на податоци и соодветното ажурирање на податоците за потрошувачка на енергија во општинските објекти.</w:t>
      </w:r>
    </w:p>
    <w:p w:rsidR="00D1686C" w:rsidRPr="007C24D5" w:rsidRDefault="00D1686C" w:rsidP="00D1686C">
      <w:pPr>
        <w:rPr>
          <w:rFonts w:ascii="Times New Roman" w:hAnsi="Times New Roman"/>
          <w:i/>
          <w:sz w:val="24"/>
          <w:szCs w:val="24"/>
          <w:lang w:val="mk-MK"/>
        </w:rPr>
      </w:pPr>
    </w:p>
    <w:p w:rsidR="00D1686C" w:rsidRPr="007C24D5" w:rsidRDefault="00604C1C" w:rsidP="00D1686C">
      <w:pPr>
        <w:jc w:val="both"/>
        <w:rPr>
          <w:rFonts w:ascii="Times New Roman" w:hAnsi="Times New Roman"/>
          <w:sz w:val="24"/>
          <w:szCs w:val="24"/>
          <w:lang w:val="mk-MK"/>
        </w:rPr>
      </w:pPr>
      <w:r w:rsidRPr="007C24D5">
        <w:rPr>
          <w:rFonts w:ascii="Times New Roman" w:hAnsi="Times New Roman"/>
          <w:sz w:val="24"/>
          <w:szCs w:val="24"/>
          <w:lang w:val="mk-MK"/>
        </w:rPr>
        <w:tab/>
      </w:r>
      <w:r w:rsidR="00D1686C" w:rsidRPr="007C24D5">
        <w:rPr>
          <w:rFonts w:ascii="Times New Roman" w:hAnsi="Times New Roman"/>
          <w:sz w:val="24"/>
          <w:szCs w:val="24"/>
          <w:lang w:val="mk-MK"/>
        </w:rPr>
        <w:t xml:space="preserve">Членовите на Тимот за Енергетска Ефикасност треба </w:t>
      </w:r>
      <w:r w:rsidR="002D4D21" w:rsidRPr="007C24D5">
        <w:rPr>
          <w:rFonts w:ascii="Times New Roman" w:hAnsi="Times New Roman"/>
          <w:sz w:val="24"/>
          <w:szCs w:val="24"/>
          <w:lang w:val="mk-MK"/>
        </w:rPr>
        <w:t xml:space="preserve">да соработуваат </w:t>
      </w:r>
      <w:r w:rsidR="00D1686C" w:rsidRPr="007C24D5">
        <w:rPr>
          <w:rFonts w:ascii="Times New Roman" w:hAnsi="Times New Roman"/>
          <w:sz w:val="24"/>
          <w:szCs w:val="24"/>
          <w:lang w:val="mk-MK"/>
        </w:rPr>
        <w:t>за извршување на задачите, да ги одредуваат задачите и да ги контролираат резултатите. Општи одговорности на членовите на тимот за енергетска ефикасност се:</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Поврзување на ОПЕЕ со визијата и стратегијата за развој на општината и истражување на правната рамка за развој и спроведување на Програмата;</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Одредување, следење и ажурирање на долгорочни и среднорочни цели за 202</w:t>
      </w:r>
      <w:r w:rsidR="00604C1C" w:rsidRPr="007C24D5">
        <w:rPr>
          <w:rFonts w:ascii="Times New Roman" w:hAnsi="Times New Roman"/>
          <w:sz w:val="24"/>
          <w:szCs w:val="24"/>
          <w:lang w:val="mk-MK"/>
        </w:rPr>
        <w:t>4</w:t>
      </w:r>
      <w:r w:rsidR="001F7B46" w:rsidRPr="007C24D5">
        <w:rPr>
          <w:rFonts w:ascii="Times New Roman" w:hAnsi="Times New Roman"/>
          <w:sz w:val="24"/>
          <w:szCs w:val="24"/>
          <w:lang w:val="mk-MK"/>
        </w:rPr>
        <w:t>-</w:t>
      </w:r>
      <w:r w:rsidRPr="007C24D5">
        <w:rPr>
          <w:rFonts w:ascii="Times New Roman" w:hAnsi="Times New Roman"/>
          <w:sz w:val="24"/>
          <w:szCs w:val="24"/>
          <w:lang w:val="mk-MK"/>
        </w:rPr>
        <w:t>2</w:t>
      </w:r>
      <w:r w:rsidR="00604C1C" w:rsidRPr="007C24D5">
        <w:rPr>
          <w:rFonts w:ascii="Times New Roman" w:hAnsi="Times New Roman"/>
          <w:sz w:val="24"/>
          <w:szCs w:val="24"/>
          <w:lang w:val="mk-MK"/>
        </w:rPr>
        <w:t>6</w:t>
      </w:r>
      <w:r w:rsidR="001F7B46" w:rsidRPr="007C24D5">
        <w:rPr>
          <w:rFonts w:ascii="Times New Roman" w:hAnsi="Times New Roman"/>
          <w:sz w:val="24"/>
          <w:szCs w:val="24"/>
          <w:lang w:val="mk-MK"/>
        </w:rPr>
        <w:t>г.</w:t>
      </w:r>
      <w:r w:rsidRPr="007C24D5">
        <w:rPr>
          <w:rFonts w:ascii="Times New Roman" w:hAnsi="Times New Roman"/>
          <w:sz w:val="24"/>
          <w:szCs w:val="24"/>
          <w:lang w:val="mk-MK"/>
        </w:rPr>
        <w:t>;</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Да работа</w:t>
      </w:r>
      <w:r w:rsidR="00531E5F" w:rsidRPr="007C24D5">
        <w:rPr>
          <w:rFonts w:ascii="Times New Roman" w:hAnsi="Times New Roman"/>
          <w:sz w:val="24"/>
          <w:szCs w:val="24"/>
          <w:lang w:val="mk-MK"/>
        </w:rPr>
        <w:t>а</w:t>
      </w:r>
      <w:r w:rsidRPr="007C24D5">
        <w:rPr>
          <w:rFonts w:ascii="Times New Roman" w:hAnsi="Times New Roman"/>
          <w:sz w:val="24"/>
          <w:szCs w:val="24"/>
          <w:lang w:val="mk-MK"/>
        </w:rPr>
        <w:t xml:space="preserve">т на формирање и управување со базата на податоци, собирање и чување на податоците (типовите на градба на објекти, технички системи, енергетски системи, извори на енергија и уреди, </w:t>
      </w:r>
      <w:r w:rsidR="00531E5F" w:rsidRPr="007C24D5">
        <w:rPr>
          <w:rFonts w:ascii="Times New Roman" w:hAnsi="Times New Roman"/>
          <w:sz w:val="24"/>
          <w:szCs w:val="24"/>
          <w:lang w:val="mk-MK"/>
        </w:rPr>
        <w:t>и др.</w:t>
      </w:r>
      <w:r w:rsidRPr="007C24D5">
        <w:rPr>
          <w:rFonts w:ascii="Times New Roman" w:hAnsi="Times New Roman"/>
          <w:sz w:val="24"/>
          <w:szCs w:val="24"/>
          <w:lang w:val="mk-MK"/>
        </w:rPr>
        <w:t>);</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Собирање и анализирање на неопходните факти и основни информации за идентификација на пречките и подготовка на Нацрт документи за Општинскиот Совет за развој на Програмата за Енергетска Ефикасност;</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Опишување/ажурирање на состојбата во општината за објектите под општинска  надлежност и потрошувачката на енергија, правење на основни проценки и пресметка на потенцијалите за енергетска ефикасност во општината;</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 xml:space="preserve">Развивање на акциски планови за енергетска ефикасност за секоја година, вклучувајќи финансиски предвидувања и потреби за финансирање од рамките на </w:t>
      </w:r>
      <w:r w:rsidRPr="007C24D5">
        <w:rPr>
          <w:rFonts w:ascii="Times New Roman" w:hAnsi="Times New Roman"/>
          <w:sz w:val="24"/>
          <w:szCs w:val="24"/>
          <w:lang w:val="mk-MK"/>
        </w:rPr>
        <w:lastRenderedPageBreak/>
        <w:t>буџетот на општината со детален опис на активностите и временски распоред, инвестициони заштеди, профитабилност, влијанија врз човековата средина, подобрување на квалитетот на општинските услуги и дополнителни придобивки;</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Развивање на финансиски план за спроведување на ОПЕЕ, вклучувајќи финансиски шеми, финансиски извори, капитал (извори од буџетот на општината), можни финансиски институции, донаторски програми, фондови со посебна намена, итн;</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Организирање и спроведување на Програмата со вклучени инвестиции, распореди, трошковни планови, учесници и спроведувачи на програмата, модалитети за изведба на програмата (подизведувачи и советници);</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Вршење на мониторинг и контрола за утврдување на енергетската состојбата во општинските објекти и јавното осветление;</w:t>
      </w:r>
    </w:p>
    <w:p w:rsidR="00D1686C" w:rsidRPr="007C24D5" w:rsidRDefault="00D1686C" w:rsidP="00D1686C">
      <w:pPr>
        <w:keepNext w:val="0"/>
        <w:numPr>
          <w:ilvl w:val="0"/>
          <w:numId w:val="1"/>
        </w:numPr>
        <w:tabs>
          <w:tab w:val="clear" w:pos="360"/>
          <w:tab w:val="num" w:pos="720"/>
        </w:tabs>
        <w:ind w:left="720"/>
        <w:jc w:val="both"/>
        <w:rPr>
          <w:rFonts w:ascii="Times New Roman" w:hAnsi="Times New Roman"/>
          <w:sz w:val="24"/>
          <w:szCs w:val="24"/>
          <w:lang w:val="mk-MK"/>
        </w:rPr>
      </w:pPr>
      <w:r w:rsidRPr="007C24D5">
        <w:rPr>
          <w:rFonts w:ascii="Times New Roman" w:hAnsi="Times New Roman"/>
          <w:sz w:val="24"/>
          <w:szCs w:val="24"/>
          <w:lang w:val="mk-MK"/>
        </w:rPr>
        <w:t>Организација на следење, проценки и известување за развојот на Програмата.</w:t>
      </w:r>
    </w:p>
    <w:p w:rsidR="00D1686C" w:rsidRPr="007C24D5" w:rsidRDefault="00D1686C" w:rsidP="00D1686C">
      <w:pPr>
        <w:pStyle w:val="Caption"/>
        <w:rPr>
          <w:color w:val="auto"/>
          <w:lang w:val="mk-MK"/>
        </w:rPr>
      </w:pPr>
      <w:bookmarkStart w:id="1" w:name="_Toc445634069"/>
      <w:bookmarkStart w:id="2" w:name="_Toc140587303"/>
      <w:r w:rsidRPr="007C24D5">
        <w:rPr>
          <w:color w:val="auto"/>
          <w:lang w:val="mk-MK"/>
        </w:rPr>
        <w:t xml:space="preserve">Табела: Спроведување на проекти за Енергетска ефикасност вклучени во </w:t>
      </w:r>
      <w:bookmarkEnd w:id="1"/>
      <w:bookmarkEnd w:id="2"/>
      <w:r w:rsidRPr="007C24D5">
        <w:rPr>
          <w:color w:val="auto"/>
          <w:lang w:val="mk-MK"/>
        </w:rPr>
        <w:t xml:space="preserve">акцискиот план </w:t>
      </w:r>
    </w:p>
    <w:p w:rsidR="00D1686C" w:rsidRPr="007C24D5" w:rsidRDefault="00D1686C">
      <w:pPr>
        <w:rPr>
          <w:lang w:val="mk-MK"/>
        </w:rPr>
      </w:pPr>
      <w:r w:rsidRPr="007C24D5">
        <w:rPr>
          <w:i/>
          <w:noProof/>
          <w:sz w:val="20"/>
          <w:lang w:val="en-US"/>
        </w:rPr>
        <w:drawing>
          <wp:inline distT="0" distB="0" distL="0" distR="0" wp14:anchorId="0CA1AEA8" wp14:editId="31B628B7">
            <wp:extent cx="5398770" cy="2839720"/>
            <wp:effectExtent l="19050" t="0" r="0" b="0"/>
            <wp:docPr id="1" name="Picture 3" descr="C:\Documents and Settings\Konstantin\My Documents\MEP\CENTAR 2010-2011\FINALEN IZVESTAJ\Juni\шема-поправена 1 п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Konstantin\My Documents\MEP\CENTAR 2010-2011\FINALEN IZVESTAJ\Juni\шема-поправена 1 пат.jpg"/>
                    <pic:cNvPicPr>
                      <a:picLocks noChangeAspect="1" noChangeArrowheads="1"/>
                    </pic:cNvPicPr>
                  </pic:nvPicPr>
                  <pic:blipFill>
                    <a:blip r:embed="rId5"/>
                    <a:srcRect/>
                    <a:stretch>
                      <a:fillRect/>
                    </a:stretch>
                  </pic:blipFill>
                  <pic:spPr bwMode="auto">
                    <a:xfrm>
                      <a:off x="0" y="0"/>
                      <a:ext cx="5398770" cy="2839720"/>
                    </a:xfrm>
                    <a:prstGeom prst="rect">
                      <a:avLst/>
                    </a:prstGeom>
                    <a:noFill/>
                    <a:ln w="9525">
                      <a:noFill/>
                      <a:miter lim="800000"/>
                      <a:headEnd/>
                      <a:tailEnd/>
                    </a:ln>
                  </pic:spPr>
                </pic:pic>
              </a:graphicData>
            </a:graphic>
          </wp:inline>
        </w:drawing>
      </w:r>
    </w:p>
    <w:p w:rsidR="00500F33" w:rsidRPr="007C24D5" w:rsidRDefault="00D1686C" w:rsidP="00500F33">
      <w:pPr>
        <w:pStyle w:val="ReferenceforTable"/>
        <w:rPr>
          <w:rFonts w:ascii="Times New Roman" w:hAnsi="Times New Roman"/>
          <w:sz w:val="24"/>
          <w:szCs w:val="24"/>
          <w:lang w:val="mk-MK"/>
        </w:rPr>
      </w:pPr>
      <w:r w:rsidRPr="007C24D5">
        <w:rPr>
          <w:rFonts w:ascii="Times New Roman" w:hAnsi="Times New Roman"/>
          <w:sz w:val="24"/>
          <w:szCs w:val="24"/>
          <w:lang w:val="mk-MK"/>
        </w:rPr>
        <w:t>За успешно функционирање на сите учесници во спроведување на ОПЕЕ, потребно е нивна меѓусебна и постојана комуникација како што е прикажано на горната слика.</w:t>
      </w:r>
    </w:p>
    <w:p w:rsidR="007F25FD" w:rsidRPr="007C24D5" w:rsidRDefault="007F25FD" w:rsidP="00500F33">
      <w:pPr>
        <w:pStyle w:val="ReferenceforTable"/>
        <w:spacing w:after="0"/>
        <w:rPr>
          <w:rFonts w:ascii="Times New Roman" w:hAnsi="Times New Roman"/>
          <w:b/>
          <w:sz w:val="24"/>
          <w:szCs w:val="24"/>
          <w:lang w:val="ru-RU"/>
        </w:rPr>
      </w:pPr>
    </w:p>
    <w:p w:rsidR="007F25FD" w:rsidRPr="007C24D5" w:rsidRDefault="007F25FD" w:rsidP="007F25FD">
      <w:pPr>
        <w:pStyle w:val="ReferenceforTable"/>
        <w:spacing w:after="0"/>
        <w:jc w:val="center"/>
        <w:rPr>
          <w:rFonts w:ascii="Times New Roman" w:hAnsi="Times New Roman"/>
          <w:b/>
          <w:sz w:val="24"/>
          <w:szCs w:val="24"/>
          <w:lang w:val="ru-RU"/>
        </w:rPr>
      </w:pPr>
      <w:r w:rsidRPr="007C24D5">
        <w:rPr>
          <w:rFonts w:ascii="Times New Roman" w:hAnsi="Times New Roman"/>
          <w:b/>
          <w:sz w:val="24"/>
          <w:szCs w:val="24"/>
          <w:lang w:val="ru-RU"/>
        </w:rPr>
        <w:t>СЛЕДЕЊЕ И МОНИТОРИНГ НА ИМПЛЕМЕНТАЦИЈАТА НА</w:t>
      </w:r>
    </w:p>
    <w:p w:rsidR="007F25FD" w:rsidRPr="007C24D5" w:rsidRDefault="007F25FD" w:rsidP="007F25FD">
      <w:pPr>
        <w:pStyle w:val="ReferenceforTable"/>
        <w:spacing w:after="0"/>
        <w:jc w:val="center"/>
        <w:rPr>
          <w:rFonts w:ascii="Times New Roman" w:hAnsi="Times New Roman"/>
          <w:b/>
          <w:sz w:val="24"/>
          <w:szCs w:val="24"/>
          <w:lang w:val="ru-RU"/>
        </w:rPr>
      </w:pPr>
      <w:r w:rsidRPr="007C24D5">
        <w:rPr>
          <w:rFonts w:ascii="Times New Roman" w:hAnsi="Times New Roman"/>
          <w:b/>
          <w:sz w:val="24"/>
          <w:szCs w:val="24"/>
          <w:lang w:val="ru-RU"/>
        </w:rPr>
        <w:t xml:space="preserve"> ПРОГРАМАТА ЗА ЕНЕРГЕТСКА ЕФИКАСНОСТ</w:t>
      </w:r>
    </w:p>
    <w:p w:rsidR="007F25FD" w:rsidRPr="007C24D5" w:rsidRDefault="007F25FD" w:rsidP="007F25FD">
      <w:pPr>
        <w:pStyle w:val="Ecotext"/>
        <w:rPr>
          <w:rFonts w:ascii="Times New Roman" w:hAnsi="Times New Roman"/>
          <w:sz w:val="24"/>
          <w:szCs w:val="24"/>
          <w:lang w:val="ru-RU"/>
        </w:rPr>
      </w:pPr>
      <w:r w:rsidRPr="007C24D5">
        <w:rPr>
          <w:rFonts w:ascii="Times New Roman" w:hAnsi="Times New Roman"/>
          <w:sz w:val="24"/>
          <w:szCs w:val="24"/>
          <w:lang w:val="ru-RU"/>
        </w:rPr>
        <w:t>Мониторинг на Програмата за енергетска ефикасност</w:t>
      </w:r>
    </w:p>
    <w:p w:rsidR="007F25FD" w:rsidRPr="007C24D5" w:rsidRDefault="007F25FD" w:rsidP="007F25FD">
      <w:pPr>
        <w:pStyle w:val="Ecotext"/>
        <w:rPr>
          <w:rFonts w:ascii="Times New Roman" w:hAnsi="Times New Roman"/>
          <w:sz w:val="24"/>
          <w:szCs w:val="24"/>
          <w:lang w:val="ru-RU"/>
        </w:rPr>
      </w:pPr>
      <w:r w:rsidRPr="007C24D5">
        <w:rPr>
          <w:rFonts w:ascii="Times New Roman" w:hAnsi="Times New Roman"/>
          <w:sz w:val="24"/>
          <w:szCs w:val="24"/>
          <w:lang w:val="ru-RU"/>
        </w:rPr>
        <w:tab/>
        <w:t>Редовниот мониторинг е клучен елемент на процесот на спроведување на Програмата за енергетска ефикасност. Мониторингот и евалуацијата (М&amp;Е) може да опфатат различни фази и аспекти од процесот на Програмата за енергетска ефикасност. Тоа обично започнува од самиот почеток и продолжува во текот на имплементацијата на програмата. Строго се препорачува мониторингот и евалуацијата (М&amp;Е) да продолжи и после временската рамка на Програмата за енергетска ефикасност, со цел како би можело ПЕЕ да создаде долгорочни влијанија врз локалната економија, енергетскиот сектор, животната средина и човековото однесување.</w:t>
      </w:r>
    </w:p>
    <w:p w:rsidR="007F25FD" w:rsidRPr="007C24D5" w:rsidRDefault="007F25FD" w:rsidP="00E06338">
      <w:pPr>
        <w:pStyle w:val="Ecotext"/>
        <w:spacing w:before="0" w:after="0"/>
        <w:rPr>
          <w:rFonts w:ascii="Times New Roman" w:hAnsi="Times New Roman"/>
          <w:sz w:val="24"/>
          <w:szCs w:val="24"/>
          <w:lang w:val="ru-RU"/>
        </w:rPr>
      </w:pPr>
      <w:r w:rsidRPr="007C24D5">
        <w:rPr>
          <w:rFonts w:ascii="Times New Roman" w:hAnsi="Times New Roman"/>
          <w:sz w:val="24"/>
          <w:szCs w:val="24"/>
          <w:lang w:val="ru-RU"/>
        </w:rPr>
        <w:lastRenderedPageBreak/>
        <w:tab/>
        <w:t>Со цел да се следат резултатите од спроведените мерки за енергетска ефикасност, потребно е да се вршат мерења во различни временски периоди и да се врши споредба на резултатите со пресметаните. Главни показатели кои се мерат и споредуваат се следните:</w:t>
      </w:r>
    </w:p>
    <w:p w:rsidR="007F25FD" w:rsidRPr="007C24D5" w:rsidRDefault="007F25FD" w:rsidP="00E06338">
      <w:pPr>
        <w:pStyle w:val="Ecotext"/>
        <w:numPr>
          <w:ilvl w:val="0"/>
          <w:numId w:val="2"/>
        </w:numPr>
        <w:spacing w:before="0" w:after="0"/>
        <w:rPr>
          <w:rFonts w:ascii="Times New Roman" w:hAnsi="Times New Roman"/>
          <w:sz w:val="24"/>
          <w:szCs w:val="24"/>
          <w:lang w:val="ru-RU"/>
        </w:rPr>
      </w:pPr>
      <w:r w:rsidRPr="007C24D5">
        <w:rPr>
          <w:rFonts w:ascii="Times New Roman" w:hAnsi="Times New Roman"/>
          <w:sz w:val="24"/>
          <w:szCs w:val="24"/>
          <w:lang w:val="ru-RU"/>
        </w:rPr>
        <w:t>Потрошувачка на енергија (топлинска и електрична)</w:t>
      </w:r>
    </w:p>
    <w:p w:rsidR="007F25FD" w:rsidRPr="007C24D5" w:rsidRDefault="007F25FD" w:rsidP="00E06338">
      <w:pPr>
        <w:pStyle w:val="Ecotext"/>
        <w:numPr>
          <w:ilvl w:val="0"/>
          <w:numId w:val="2"/>
        </w:numPr>
        <w:spacing w:before="0" w:after="0"/>
        <w:rPr>
          <w:rFonts w:ascii="Times New Roman" w:hAnsi="Times New Roman"/>
          <w:sz w:val="24"/>
          <w:szCs w:val="24"/>
          <w:lang w:val="ru-RU"/>
        </w:rPr>
      </w:pPr>
      <w:r w:rsidRPr="007C24D5">
        <w:rPr>
          <w:rFonts w:ascii="Times New Roman" w:hAnsi="Times New Roman"/>
          <w:sz w:val="24"/>
          <w:szCs w:val="24"/>
          <w:lang w:val="ru-RU"/>
        </w:rPr>
        <w:t>Споредба на амбиенталните услови во објектите (температурни разлики, степен на осветленост и влажност)</w:t>
      </w:r>
    </w:p>
    <w:p w:rsidR="007F25FD" w:rsidRPr="007C24D5" w:rsidRDefault="007F25FD" w:rsidP="00E06338">
      <w:pPr>
        <w:pStyle w:val="Ecotext"/>
        <w:numPr>
          <w:ilvl w:val="0"/>
          <w:numId w:val="2"/>
        </w:numPr>
        <w:spacing w:before="0" w:after="0"/>
        <w:rPr>
          <w:rFonts w:ascii="Times New Roman" w:hAnsi="Times New Roman"/>
          <w:sz w:val="24"/>
          <w:szCs w:val="24"/>
          <w:lang w:val="ru-RU"/>
        </w:rPr>
      </w:pPr>
      <w:r w:rsidRPr="007C24D5">
        <w:rPr>
          <w:rFonts w:ascii="Times New Roman" w:hAnsi="Times New Roman"/>
          <w:sz w:val="24"/>
          <w:szCs w:val="24"/>
          <w:lang w:val="ru-RU"/>
        </w:rPr>
        <w:t>Заштеда на финансиски средства кои се одвојуваат за трошоците за енергија.</w:t>
      </w:r>
    </w:p>
    <w:p w:rsidR="007F25FD" w:rsidRPr="007C24D5" w:rsidRDefault="007F25FD" w:rsidP="00D05B97">
      <w:pPr>
        <w:pStyle w:val="Ecotext"/>
        <w:spacing w:before="0" w:after="0"/>
        <w:rPr>
          <w:rFonts w:ascii="Times New Roman" w:hAnsi="Times New Roman"/>
          <w:sz w:val="24"/>
          <w:szCs w:val="24"/>
          <w:lang w:val="ru-RU"/>
        </w:rPr>
      </w:pPr>
      <w:r w:rsidRPr="007C24D5">
        <w:rPr>
          <w:rFonts w:ascii="Times New Roman" w:hAnsi="Times New Roman"/>
          <w:sz w:val="24"/>
          <w:szCs w:val="24"/>
          <w:lang w:val="ru-RU"/>
        </w:rPr>
        <w:tab/>
        <w:t>Откако ќе се имплементираат предвидените активности во Програмата за енергетска ефикасност, добиените резултати треба да се споредат со резултатите пред интервенцијата и на тој начин да се утврди дали е постигната предвидената цел.  Доколку не е постигната целта тогаш се испитува причината зошто не е постигната и се утврдуваат недостатоците во системот доколку такви постојат и истите треба да се отстранат. Во случај резултатите да се како претпоставените или подобри, тогаш се донесува заклучок дека целта е постигната.</w:t>
      </w:r>
    </w:p>
    <w:p w:rsidR="00D05B97" w:rsidRPr="007C24D5" w:rsidRDefault="00D05B97" w:rsidP="00500F33">
      <w:pPr>
        <w:pStyle w:val="ReferenceforTable"/>
        <w:spacing w:after="0"/>
        <w:rPr>
          <w:rFonts w:ascii="Times New Roman" w:hAnsi="Times New Roman"/>
          <w:b/>
          <w:sz w:val="24"/>
          <w:szCs w:val="24"/>
          <w:lang w:val="ru-RU"/>
        </w:rPr>
      </w:pPr>
    </w:p>
    <w:p w:rsidR="00500F33" w:rsidRPr="007C24D5" w:rsidRDefault="00D1686C" w:rsidP="00500F33">
      <w:pPr>
        <w:pStyle w:val="ReferenceforTable"/>
        <w:spacing w:after="0"/>
        <w:rPr>
          <w:rFonts w:ascii="Times New Roman" w:hAnsi="Times New Roman"/>
          <w:b/>
          <w:sz w:val="24"/>
          <w:szCs w:val="24"/>
          <w:lang w:val="ru-RU"/>
        </w:rPr>
      </w:pPr>
      <w:r w:rsidRPr="007C24D5">
        <w:rPr>
          <w:rFonts w:ascii="Times New Roman" w:hAnsi="Times New Roman"/>
          <w:b/>
          <w:sz w:val="24"/>
          <w:szCs w:val="24"/>
          <w:lang w:val="ru-RU"/>
        </w:rPr>
        <w:t>Резиме</w:t>
      </w:r>
    </w:p>
    <w:p w:rsidR="00D05B97" w:rsidRPr="007C24D5" w:rsidRDefault="00500F33" w:rsidP="00D05B97">
      <w:pPr>
        <w:pStyle w:val="ReferenceforTable"/>
        <w:rPr>
          <w:rFonts w:ascii="Times New Roman" w:hAnsi="Times New Roman"/>
          <w:sz w:val="24"/>
          <w:szCs w:val="24"/>
          <w:lang w:val="ru-RU"/>
        </w:rPr>
      </w:pPr>
      <w:r w:rsidRPr="007C24D5">
        <w:rPr>
          <w:rFonts w:ascii="Times New Roman" w:hAnsi="Times New Roman"/>
          <w:b/>
          <w:sz w:val="24"/>
          <w:szCs w:val="24"/>
          <w:lang w:val="ru-RU"/>
        </w:rPr>
        <w:tab/>
      </w:r>
      <w:r w:rsidR="00D05B97" w:rsidRPr="007C24D5">
        <w:rPr>
          <w:rFonts w:ascii="Times New Roman" w:hAnsi="Times New Roman"/>
          <w:sz w:val="24"/>
          <w:szCs w:val="24"/>
          <w:lang w:val="ru-RU"/>
        </w:rPr>
        <w:t>Како дел од процесот на континуирано следење, имплементираните проекти можат да се оценат преку нивното влијание врз потрошувачката на енергија и намалување на емисиите на CO2. Врз основа на резултатите и набљудуваните проблеми, доколку воопшто има некој, може да се превземат дополнителни корективни и превентивни мерки и активности.</w:t>
      </w:r>
    </w:p>
    <w:p w:rsidR="00D05B97" w:rsidRPr="007C24D5" w:rsidRDefault="00D05B97" w:rsidP="00D05B97">
      <w:pPr>
        <w:pStyle w:val="ReferenceforTable"/>
        <w:spacing w:after="0"/>
        <w:rPr>
          <w:rFonts w:ascii="Times New Roman" w:hAnsi="Times New Roman"/>
          <w:sz w:val="24"/>
          <w:szCs w:val="24"/>
          <w:lang w:val="ru-RU"/>
        </w:rPr>
      </w:pPr>
      <w:r w:rsidRPr="007C24D5">
        <w:rPr>
          <w:rFonts w:ascii="Times New Roman" w:hAnsi="Times New Roman"/>
          <w:sz w:val="24"/>
          <w:szCs w:val="24"/>
          <w:lang w:val="ru-RU"/>
        </w:rPr>
        <w:tab/>
        <w:t>Резултатите од мониторинг и евалуација (М&amp;Е) може да доведат до промена и надградба на Програмата за енергетска ефикасност. Ажурираната ПЕЕ ќе послужи како основа за развој на Акциониот план за наредната година.</w:t>
      </w:r>
    </w:p>
    <w:p w:rsidR="00D1686C" w:rsidRPr="007C24D5" w:rsidRDefault="00D05B97" w:rsidP="00500F33">
      <w:pPr>
        <w:pStyle w:val="ReferenceforTable"/>
        <w:spacing w:after="0"/>
        <w:rPr>
          <w:rFonts w:ascii="Times New Roman" w:hAnsi="Times New Roman"/>
          <w:sz w:val="24"/>
          <w:szCs w:val="24"/>
          <w:lang w:val="mk-MK"/>
        </w:rPr>
      </w:pPr>
      <w:r w:rsidRPr="007C24D5">
        <w:rPr>
          <w:rFonts w:ascii="Times New Roman" w:hAnsi="Times New Roman"/>
          <w:sz w:val="24"/>
          <w:szCs w:val="24"/>
          <w:lang w:val="ru-RU"/>
        </w:rPr>
        <w:tab/>
      </w:r>
      <w:r w:rsidR="00D1686C" w:rsidRPr="007C24D5">
        <w:rPr>
          <w:rFonts w:ascii="Times New Roman" w:hAnsi="Times New Roman"/>
          <w:sz w:val="24"/>
          <w:szCs w:val="24"/>
          <w:lang w:val="ru-RU"/>
        </w:rPr>
        <w:t xml:space="preserve">Политиката на Општината, во областа на енергетска ефикасност се утврдува со Програма за енергетска ефикасност, усогласена со државната Стратегија за унапредување на енергетската ефикасност. </w:t>
      </w:r>
      <w:r w:rsidR="00D1686C" w:rsidRPr="007C24D5">
        <w:rPr>
          <w:rFonts w:ascii="Times New Roman" w:hAnsi="Times New Roman"/>
          <w:sz w:val="24"/>
          <w:szCs w:val="24"/>
          <w:lang w:val="mk-MK"/>
        </w:rPr>
        <w:t>Активностите на Општина Охрид ќе се насочат кон реализација на главната цел на политиките на ЕУ, односно намалување на годишната потрошувачка на примарна енергија, согласно предложените мерки од Европската комисија, за зголемување на ефикасноста во сите сегменти во синџирот на енергија: генерација, трансформација, дистрибуција и финална потрошувачка.</w:t>
      </w:r>
    </w:p>
    <w:p w:rsidR="00C50295" w:rsidRPr="007C24D5" w:rsidRDefault="00C50295" w:rsidP="00C50295">
      <w:pPr>
        <w:ind w:firstLine="720"/>
        <w:jc w:val="both"/>
        <w:rPr>
          <w:rFonts w:ascii="Times New Roman" w:hAnsi="Times New Roman"/>
          <w:bCs/>
          <w:sz w:val="24"/>
          <w:szCs w:val="24"/>
          <w:lang w:val="mk-MK"/>
        </w:rPr>
      </w:pPr>
    </w:p>
    <w:p w:rsidR="00C50295" w:rsidRPr="007C24D5" w:rsidRDefault="00C50295" w:rsidP="00C50295">
      <w:pPr>
        <w:ind w:firstLine="720"/>
        <w:jc w:val="both"/>
        <w:rPr>
          <w:rFonts w:ascii="Times New Roman" w:hAnsi="Times New Roman"/>
          <w:bCs/>
          <w:sz w:val="24"/>
          <w:szCs w:val="24"/>
          <w:lang w:val="mk-MK"/>
        </w:rPr>
      </w:pPr>
      <w:r w:rsidRPr="007C24D5">
        <w:rPr>
          <w:rFonts w:ascii="Times New Roman" w:hAnsi="Times New Roman"/>
          <w:bCs/>
          <w:sz w:val="24"/>
          <w:szCs w:val="24"/>
        </w:rPr>
        <w:t xml:space="preserve">Оваа </w:t>
      </w:r>
      <w:r w:rsidRPr="007C24D5">
        <w:rPr>
          <w:rFonts w:ascii="Times New Roman" w:hAnsi="Times New Roman"/>
          <w:bCs/>
          <w:sz w:val="24"/>
          <w:szCs w:val="24"/>
          <w:lang w:val="mk-MK"/>
        </w:rPr>
        <w:t xml:space="preserve">Нацрт </w:t>
      </w:r>
      <w:r w:rsidRPr="007C24D5">
        <w:rPr>
          <w:rFonts w:ascii="Times New Roman" w:hAnsi="Times New Roman"/>
          <w:bCs/>
          <w:sz w:val="24"/>
          <w:szCs w:val="24"/>
        </w:rPr>
        <w:t>Програма</w:t>
      </w:r>
      <w:r w:rsidRPr="007C24D5">
        <w:rPr>
          <w:rFonts w:ascii="Times New Roman" w:hAnsi="Times New Roman"/>
          <w:bCs/>
          <w:sz w:val="24"/>
          <w:szCs w:val="24"/>
          <w:lang w:val="mk-MK"/>
        </w:rPr>
        <w:t xml:space="preserve"> в</w:t>
      </w:r>
      <w:r w:rsidRPr="007C24D5">
        <w:rPr>
          <w:rFonts w:ascii="Times New Roman" w:hAnsi="Times New Roman"/>
          <w:bCs/>
          <w:sz w:val="24"/>
          <w:szCs w:val="24"/>
        </w:rPr>
        <w:t xml:space="preserve">легува во сила наредниот ден од денот на објавувањето во „Сл.гласник на општина Охрид“. </w:t>
      </w:r>
    </w:p>
    <w:p w:rsidR="00C50295" w:rsidRPr="007C24D5" w:rsidRDefault="00C50295" w:rsidP="00C50295">
      <w:pPr>
        <w:jc w:val="both"/>
        <w:rPr>
          <w:rFonts w:ascii="Times New Roman" w:hAnsi="Times New Roman"/>
          <w:b/>
          <w:sz w:val="24"/>
          <w:szCs w:val="24"/>
          <w:lang w:val="en-US"/>
        </w:rPr>
      </w:pPr>
    </w:p>
    <w:p w:rsidR="00196993" w:rsidRPr="007C24D5" w:rsidRDefault="00196993" w:rsidP="00C50295">
      <w:pPr>
        <w:jc w:val="both"/>
        <w:rPr>
          <w:rFonts w:ascii="Times New Roman" w:hAnsi="Times New Roman"/>
          <w:b/>
          <w:sz w:val="24"/>
          <w:szCs w:val="24"/>
          <w:lang w:val="en-US"/>
        </w:rPr>
      </w:pPr>
    </w:p>
    <w:p w:rsidR="00656A7B" w:rsidRPr="007C24D5" w:rsidRDefault="00C50295" w:rsidP="00C50295">
      <w:pPr>
        <w:jc w:val="both"/>
        <w:rPr>
          <w:rFonts w:ascii="Times New Roman" w:hAnsi="Times New Roman"/>
          <w:b/>
          <w:sz w:val="24"/>
          <w:szCs w:val="24"/>
          <w:lang w:val="en-US"/>
        </w:rPr>
      </w:pPr>
      <w:r w:rsidRPr="007C24D5">
        <w:rPr>
          <w:rFonts w:ascii="Times New Roman" w:hAnsi="Times New Roman"/>
          <w:b/>
          <w:sz w:val="24"/>
          <w:szCs w:val="24"/>
          <w:lang w:val="ru-RU"/>
        </w:rPr>
        <w:t xml:space="preserve">Број </w:t>
      </w:r>
      <w:r w:rsidRPr="007C24D5">
        <w:rPr>
          <w:rFonts w:ascii="Times New Roman" w:hAnsi="Times New Roman"/>
          <w:b/>
          <w:sz w:val="24"/>
          <w:szCs w:val="24"/>
          <w:lang w:val="mk-MK"/>
        </w:rPr>
        <w:t xml:space="preserve">                                                        </w:t>
      </w:r>
      <w:r w:rsidRPr="007C24D5">
        <w:rPr>
          <w:rFonts w:ascii="Times New Roman" w:hAnsi="Times New Roman"/>
          <w:b/>
          <w:sz w:val="24"/>
          <w:szCs w:val="24"/>
          <w:lang w:val="ru-RU"/>
        </w:rPr>
        <w:t xml:space="preserve">СОВЕТ НА ОПШТИНА ОХРИД  </w:t>
      </w:r>
    </w:p>
    <w:p w:rsidR="00C50295" w:rsidRPr="007C24D5" w:rsidRDefault="00656A7B" w:rsidP="00C50295">
      <w:pPr>
        <w:jc w:val="both"/>
        <w:rPr>
          <w:rFonts w:ascii="Times New Roman" w:hAnsi="Times New Roman"/>
          <w:b/>
          <w:sz w:val="24"/>
          <w:szCs w:val="24"/>
          <w:lang w:val="ru-RU"/>
        </w:rPr>
      </w:pPr>
      <w:r w:rsidRPr="007C24D5">
        <w:rPr>
          <w:rFonts w:ascii="Times New Roman" w:hAnsi="Times New Roman"/>
          <w:b/>
          <w:sz w:val="24"/>
          <w:szCs w:val="24"/>
          <w:lang w:val="en-US"/>
        </w:rPr>
        <w:t>___________</w:t>
      </w:r>
      <w:r w:rsidR="00C50295" w:rsidRPr="007C24D5">
        <w:rPr>
          <w:rFonts w:ascii="Times New Roman" w:hAnsi="Times New Roman"/>
          <w:b/>
          <w:sz w:val="24"/>
          <w:szCs w:val="24"/>
          <w:lang w:val="ru-RU"/>
        </w:rPr>
        <w:t xml:space="preserve">   год.                                           </w:t>
      </w:r>
      <w:r w:rsidR="00C50295" w:rsidRPr="007C24D5">
        <w:rPr>
          <w:rFonts w:ascii="Times New Roman" w:hAnsi="Times New Roman"/>
          <w:b/>
          <w:sz w:val="24"/>
          <w:szCs w:val="24"/>
        </w:rPr>
        <w:t xml:space="preserve">      </w:t>
      </w:r>
      <w:r w:rsidR="00C50295" w:rsidRPr="007C24D5">
        <w:rPr>
          <w:rFonts w:ascii="Times New Roman" w:hAnsi="Times New Roman"/>
          <w:b/>
          <w:sz w:val="24"/>
          <w:szCs w:val="24"/>
          <w:lang w:val="ru-RU"/>
        </w:rPr>
        <w:t>Претседател,</w:t>
      </w:r>
    </w:p>
    <w:p w:rsidR="00C50295" w:rsidRPr="007C24D5" w:rsidRDefault="00C50295" w:rsidP="00C50295">
      <w:pPr>
        <w:jc w:val="both"/>
        <w:rPr>
          <w:rFonts w:ascii="Times New Roman" w:hAnsi="Times New Roman"/>
          <w:b/>
          <w:sz w:val="24"/>
          <w:szCs w:val="24"/>
          <w:lang w:val="mk-MK"/>
        </w:rPr>
      </w:pPr>
      <w:r w:rsidRPr="007C24D5">
        <w:rPr>
          <w:rFonts w:ascii="Times New Roman" w:hAnsi="Times New Roman"/>
          <w:b/>
          <w:sz w:val="24"/>
          <w:szCs w:val="24"/>
          <w:lang w:val="ru-RU"/>
        </w:rPr>
        <w:t xml:space="preserve">О х р и д                           </w:t>
      </w:r>
      <w:r w:rsidR="00531E5F" w:rsidRPr="007C24D5">
        <w:rPr>
          <w:rFonts w:ascii="Times New Roman" w:hAnsi="Times New Roman"/>
          <w:b/>
          <w:sz w:val="24"/>
          <w:szCs w:val="24"/>
          <w:lang w:val="ru-RU"/>
        </w:rPr>
        <w:t xml:space="preserve">                                 </w:t>
      </w:r>
      <w:r w:rsidR="00531E5F" w:rsidRPr="007C24D5">
        <w:rPr>
          <w:rFonts w:ascii="Times New Roman" w:hAnsi="Times New Roman"/>
          <w:b/>
          <w:sz w:val="24"/>
          <w:szCs w:val="24"/>
          <w:lang w:val="mk-MK"/>
        </w:rPr>
        <w:t>Перчо Божиновски</w:t>
      </w:r>
    </w:p>
    <w:sectPr w:rsidR="00C50295" w:rsidRPr="007C24D5" w:rsidSect="001C4D84">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F4867"/>
    <w:multiLevelType w:val="hybridMultilevel"/>
    <w:tmpl w:val="AC0AA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EC03FF"/>
    <w:multiLevelType w:val="hybridMultilevel"/>
    <w:tmpl w:val="177C3C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F8"/>
    <w:rsid w:val="00000F88"/>
    <w:rsid w:val="000B340B"/>
    <w:rsid w:val="000B50C8"/>
    <w:rsid w:val="000C0BB3"/>
    <w:rsid w:val="000D25E2"/>
    <w:rsid w:val="000E36A1"/>
    <w:rsid w:val="0015025E"/>
    <w:rsid w:val="00153C03"/>
    <w:rsid w:val="00160432"/>
    <w:rsid w:val="00163678"/>
    <w:rsid w:val="00196993"/>
    <w:rsid w:val="001C4D84"/>
    <w:rsid w:val="001D3143"/>
    <w:rsid w:val="001F7B46"/>
    <w:rsid w:val="002D4D21"/>
    <w:rsid w:val="002E6557"/>
    <w:rsid w:val="003021A1"/>
    <w:rsid w:val="003202EE"/>
    <w:rsid w:val="00321809"/>
    <w:rsid w:val="003309F8"/>
    <w:rsid w:val="00351836"/>
    <w:rsid w:val="004759DA"/>
    <w:rsid w:val="004F64C3"/>
    <w:rsid w:val="00500F33"/>
    <w:rsid w:val="00513C3C"/>
    <w:rsid w:val="00531E5F"/>
    <w:rsid w:val="005923E7"/>
    <w:rsid w:val="005A20E3"/>
    <w:rsid w:val="00604C1C"/>
    <w:rsid w:val="00656A7B"/>
    <w:rsid w:val="006739B8"/>
    <w:rsid w:val="006845BC"/>
    <w:rsid w:val="007526CA"/>
    <w:rsid w:val="00791199"/>
    <w:rsid w:val="007A403F"/>
    <w:rsid w:val="007C24D5"/>
    <w:rsid w:val="007F25FD"/>
    <w:rsid w:val="008517B1"/>
    <w:rsid w:val="008B4FE2"/>
    <w:rsid w:val="008D665C"/>
    <w:rsid w:val="009E134D"/>
    <w:rsid w:val="00A83257"/>
    <w:rsid w:val="00AA257F"/>
    <w:rsid w:val="00AB3ED0"/>
    <w:rsid w:val="00AE7222"/>
    <w:rsid w:val="00B50305"/>
    <w:rsid w:val="00B75490"/>
    <w:rsid w:val="00B8199F"/>
    <w:rsid w:val="00B87EBE"/>
    <w:rsid w:val="00BA27F6"/>
    <w:rsid w:val="00C26392"/>
    <w:rsid w:val="00C50295"/>
    <w:rsid w:val="00C5096B"/>
    <w:rsid w:val="00CA7EB9"/>
    <w:rsid w:val="00D05B97"/>
    <w:rsid w:val="00D1686C"/>
    <w:rsid w:val="00D67FD0"/>
    <w:rsid w:val="00DA24BD"/>
    <w:rsid w:val="00DF0079"/>
    <w:rsid w:val="00E02039"/>
    <w:rsid w:val="00E06338"/>
    <w:rsid w:val="00E83C78"/>
    <w:rsid w:val="00EF1F4D"/>
    <w:rsid w:val="00EF5D0B"/>
    <w:rsid w:val="00F24165"/>
    <w:rsid w:val="00F6313A"/>
    <w:rsid w:val="00FA72A9"/>
    <w:rsid w:val="00FB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BC1F8"/>
  <w15:docId w15:val="{7F7DB9FC-9365-4CAF-A3C0-EA62D0A2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678"/>
    <w:pPr>
      <w:keepNext/>
      <w:spacing w:after="0" w:line="240" w:lineRule="auto"/>
    </w:pPr>
    <w:rPr>
      <w:rFonts w:ascii="Arial" w:eastAsia="Calibri" w:hAnsi="Arial"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3678"/>
    <w:pPr>
      <w:autoSpaceDE w:val="0"/>
      <w:autoSpaceDN w:val="0"/>
      <w:adjustRightInd w:val="0"/>
      <w:spacing w:after="0" w:line="240" w:lineRule="auto"/>
    </w:pPr>
    <w:rPr>
      <w:rFonts w:ascii="Arial" w:eastAsia="Calibri" w:hAnsi="Arial" w:cs="Arial"/>
      <w:color w:val="000000"/>
      <w:sz w:val="24"/>
      <w:szCs w:val="24"/>
    </w:rPr>
  </w:style>
  <w:style w:type="paragraph" w:customStyle="1" w:styleId="Ecotext">
    <w:name w:val="*Eco text"/>
    <w:link w:val="EcotextCar"/>
    <w:qFormat/>
    <w:rsid w:val="002E6557"/>
    <w:pPr>
      <w:suppressAutoHyphens/>
      <w:spacing w:before="180" w:after="180" w:line="288" w:lineRule="auto"/>
      <w:jc w:val="both"/>
    </w:pPr>
    <w:rPr>
      <w:rFonts w:ascii="Arial" w:eastAsia="Calibri" w:hAnsi="Arial" w:cs="Times New Roman"/>
      <w:lang w:val="en-CA"/>
    </w:rPr>
  </w:style>
  <w:style w:type="character" w:customStyle="1" w:styleId="EcotextCar">
    <w:name w:val="*Eco text Car"/>
    <w:link w:val="Ecotext"/>
    <w:rsid w:val="002E6557"/>
    <w:rPr>
      <w:rFonts w:ascii="Arial" w:eastAsia="Calibri" w:hAnsi="Arial" w:cs="Times New Roman"/>
      <w:lang w:val="en-CA"/>
    </w:rPr>
  </w:style>
  <w:style w:type="paragraph" w:customStyle="1" w:styleId="ReferenceforTable">
    <w:name w:val="*Reference for Table"/>
    <w:basedOn w:val="Normal"/>
    <w:next w:val="Ecotext"/>
    <w:qFormat/>
    <w:rsid w:val="00D1686C"/>
    <w:pPr>
      <w:keepNext w:val="0"/>
      <w:widowControl w:val="0"/>
      <w:spacing w:after="120"/>
    </w:pPr>
    <w:rPr>
      <w:sz w:val="16"/>
    </w:rPr>
  </w:style>
  <w:style w:type="paragraph" w:styleId="ListParagraph">
    <w:name w:val="List Paragraph"/>
    <w:basedOn w:val="Normal"/>
    <w:link w:val="ListParagraphChar"/>
    <w:uiPriority w:val="99"/>
    <w:qFormat/>
    <w:rsid w:val="00D1686C"/>
    <w:pPr>
      <w:ind w:left="720"/>
      <w:contextualSpacing/>
    </w:pPr>
  </w:style>
  <w:style w:type="character" w:customStyle="1" w:styleId="ListParagraphChar">
    <w:name w:val="List Paragraph Char"/>
    <w:link w:val="ListParagraph"/>
    <w:uiPriority w:val="99"/>
    <w:rsid w:val="00D1686C"/>
    <w:rPr>
      <w:rFonts w:ascii="Arial" w:eastAsia="Calibri" w:hAnsi="Arial" w:cs="Times New Roman"/>
      <w:lang w:val="en-CA"/>
    </w:rPr>
  </w:style>
  <w:style w:type="paragraph" w:styleId="BalloonText">
    <w:name w:val="Balloon Text"/>
    <w:basedOn w:val="Normal"/>
    <w:link w:val="BalloonTextChar"/>
    <w:uiPriority w:val="99"/>
    <w:semiHidden/>
    <w:unhideWhenUsed/>
    <w:rsid w:val="00D1686C"/>
    <w:rPr>
      <w:rFonts w:ascii="Tahoma" w:hAnsi="Tahoma" w:cs="Tahoma"/>
      <w:sz w:val="16"/>
      <w:szCs w:val="16"/>
    </w:rPr>
  </w:style>
  <w:style w:type="character" w:customStyle="1" w:styleId="BalloonTextChar">
    <w:name w:val="Balloon Text Char"/>
    <w:basedOn w:val="DefaultParagraphFont"/>
    <w:link w:val="BalloonText"/>
    <w:uiPriority w:val="99"/>
    <w:semiHidden/>
    <w:rsid w:val="00D1686C"/>
    <w:rPr>
      <w:rFonts w:ascii="Tahoma" w:eastAsia="Calibri" w:hAnsi="Tahoma" w:cs="Tahoma"/>
      <w:sz w:val="16"/>
      <w:szCs w:val="16"/>
      <w:lang w:val="en-CA"/>
    </w:rPr>
  </w:style>
  <w:style w:type="paragraph" w:styleId="Caption">
    <w:name w:val="caption"/>
    <w:aliases w:val="Legende,Eco Legend Table"/>
    <w:basedOn w:val="Ecotext"/>
    <w:next w:val="Ecotext"/>
    <w:link w:val="CaptionChar"/>
    <w:uiPriority w:val="35"/>
    <w:qFormat/>
    <w:rsid w:val="00D1686C"/>
    <w:pPr>
      <w:keepNext/>
      <w:spacing w:before="240" w:after="120"/>
      <w:jc w:val="center"/>
    </w:pPr>
    <w:rPr>
      <w:b/>
      <w:bCs/>
      <w:color w:val="00467F"/>
      <w:sz w:val="20"/>
      <w:szCs w:val="18"/>
    </w:rPr>
  </w:style>
  <w:style w:type="character" w:customStyle="1" w:styleId="CaptionChar">
    <w:name w:val="Caption Char"/>
    <w:aliases w:val="Legende Char,Eco Legend Table Char"/>
    <w:link w:val="Caption"/>
    <w:uiPriority w:val="35"/>
    <w:rsid w:val="00D1686C"/>
    <w:rPr>
      <w:rFonts w:ascii="Arial" w:eastAsia="Calibri" w:hAnsi="Arial" w:cs="Times New Roman"/>
      <w:b/>
      <w:bCs/>
      <w:color w:val="00467F"/>
      <w:sz w:val="20"/>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6</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ZdravkoP</dc:creator>
  <cp:lastModifiedBy>Aco Kitrozoski</cp:lastModifiedBy>
  <cp:revision>14</cp:revision>
  <cp:lastPrinted>2024-11-15T09:16:00Z</cp:lastPrinted>
  <dcterms:created xsi:type="dcterms:W3CDTF">2024-11-18T09:30:00Z</dcterms:created>
  <dcterms:modified xsi:type="dcterms:W3CDTF">2024-11-23T16:22:00Z</dcterms:modified>
</cp:coreProperties>
</file>